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2"/>
          <w:szCs w:val="22"/>
        </w:rPr>
        <w:t xml:space="preserve">T.C.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2"/>
          <w:szCs w:val="22"/>
        </w:rPr>
        <w:t xml:space="preserve">YOZGAT BOZOK ÜNİVERSİTESİ</w:t>
      </w:r>
    </w:p>
    <w:p>
      <w:pPr>
        <w:spacing w:after="30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2"/>
          <w:szCs w:val="22"/>
        </w:rPr>
        <w:t xml:space="preserve">Mühendislik-Mimarlık Fakültesi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2"/>
          <w:szCs w:val="22"/>
        </w:rPr>
        <w:t xml:space="preserve">AKD-ÖRNEK EĞİTİM PLANI (AKD101 / AKD102 – KAMU AKADEMİ EĞİTİMLERİ)</w:t>
      </w:r>
    </w:p>
    <w:p>
      <w:pPr>
        <w:spacing w:after="30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Adı ve Soyadı: ............................................        Öğrenci No: ............................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5926"/>
        <w:gridCol w:w="2000"/>
      </w:tblGrid>
      <w:tr>
        <w:tc>
          <w:tcPr>
            <w:tcW w:type="dxa" w:w="9026"/>
            <w:gridSpan w:val="3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AKD101 – Kamu Akademi Eğitimleri I (2 AKTS) — asgari 50 saat</w:t>
            </w:r>
          </w:p>
        </w:tc>
      </w:tr>
      <w:tr>
        <w:tc>
          <w:tcPr>
            <w:tcW w:type="dxa" w:w="1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Sıra No</w:t>
            </w:r>
          </w:p>
        </w:tc>
        <w:tc>
          <w:tcPr>
            <w:tcW w:type="dxa" w:w="5926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Eğitim Adı</w:t>
            </w:r>
          </w:p>
        </w:tc>
        <w:tc>
          <w:tcPr>
            <w:tcW w:type="dxa" w:w="2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Eğitim Süresi (sa.dk.sn)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Proteus ile Devre Tasarımı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04.47.50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STM32 ile Gömülü Yazılım Geliştirme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11.29.09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STM32 ile Gömülü Yazılım Geliştirme İleri Seviye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22.33.09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Temel Elektronik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09.29.59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Temel Elektronik ve Robotiğe Giriş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08.22.26</w:t>
            </w:r>
          </w:p>
        </w:tc>
      </w:tr>
      <w:tr>
        <w:tc>
          <w:tcPr>
            <w:tcW w:type="dxa" w:w="7026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Toplam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56.42.33</w:t>
            </w:r>
          </w:p>
        </w:tc>
      </w:tr>
      <w:tr>
        <w:tc>
          <w:tcPr>
            <w:tcW w:type="dxa" w:w="9026"/>
            <w:gridSpan w:val="3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AKD102 – Kamu Akademi Eğitimleri II (4 AKTS) — asgari 100 saat</w:t>
            </w:r>
          </w:p>
        </w:tc>
      </w:tr>
      <w:tr>
        <w:tc>
          <w:tcPr>
            <w:tcW w:type="dxa" w:w="1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Sıra No</w:t>
            </w:r>
          </w:p>
        </w:tc>
        <w:tc>
          <w:tcPr>
            <w:tcW w:type="dxa" w:w="5926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Eğitim Adı</w:t>
            </w:r>
          </w:p>
        </w:tc>
        <w:tc>
          <w:tcPr>
            <w:tcW w:type="dxa" w:w="2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Eğitim Süresi (sa.dk.sn)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Sıfırdan İleri Seviye Python Programlama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44.04.31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HTML5 ile Web Geliştirme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13.50.54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Projelerle Arduino Programlama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20.31.27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Matlab v24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04.20.30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MATLAB ile Makine Öğrenmesi Algoritmaları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15.19.05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Bilgi Teknolojileri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13.18.58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Yapay Zekâya Giriş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07.29.29</w:t>
            </w:r>
          </w:p>
        </w:tc>
      </w:tr>
      <w:tr>
        <w:tc>
          <w:tcPr>
            <w:tcW w:type="dxa" w:w="7026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Toplam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118.54.54</w:t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2"/>
          <w:szCs w:val="22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2"/>
          <w:szCs w:val="22"/>
        </w:rPr>
        <w:t xml:space="preserve">Açıklamalar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1) Yukarıdaki tablo yalnızca örnektir; öğrenci kendi tamamladığı eğitimleri ve e-Devlet/BTK Akademi sertifikalarında yazan süreleri aynı biçimde (saat.dakika.saniye) yazar.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2) AKD101 için toplam sürenin en az 50 saat, AKD102 için en az 100 saat olması gerekir. Süreler, Cumhurbaşkanlığı Uzaktan Eğitim Kapısı sınavlı eğitimleri ve/veya BTK Akademi sertifikalı eğitimlerinden oluşabilir.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3) Aynı sertifika birden fazla ders için kullanılamaz; AKD101 için sayılan bir eğitim AKD102 toplamına dâhil edilemez.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4) Tabloda belirtilen her eğitimin sertifikası, dilekçe ekinde sıralı biçimde sunulmalıdır.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5) Kamu Akademi Eğitimleri (AKD101/AKD102) başvuruları yalnızca güz yarıyılı başlangıcını takip eden ilk iki hafta içinde kabul edilir.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2026-09-16T11:54:37.191Z</dcterms:created>
  <dcterms:modified xsi:type="dcterms:W3CDTF">2026-09-16T11:54:37.191Z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