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39C1" w14:textId="77777777" w:rsidR="00BC01D7" w:rsidRDefault="00BC0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</w:p>
    <w:tbl>
      <w:tblPr>
        <w:tblStyle w:val="a"/>
        <w:tblW w:w="977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4821"/>
        <w:gridCol w:w="2693"/>
      </w:tblGrid>
      <w:tr w:rsidR="00BC01D7" w14:paraId="2312965A" w14:textId="77777777" w:rsidTr="00C55BC6">
        <w:trPr>
          <w:trHeight w:val="2682"/>
        </w:trPr>
        <w:tc>
          <w:tcPr>
            <w:tcW w:w="2262" w:type="dxa"/>
          </w:tcPr>
          <w:p w14:paraId="2AC85557" w14:textId="77777777" w:rsidR="00BC01D7" w:rsidRDefault="00BC01D7"/>
          <w:p w14:paraId="627EB53B" w14:textId="77777777" w:rsidR="00BC01D7" w:rsidRDefault="00E84D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925049" wp14:editId="761ECE4B">
                  <wp:extent cx="1350879" cy="1351595"/>
                  <wp:effectExtent l="0" t="0" r="0" b="0"/>
                  <wp:docPr id="1" name="image1.png" descr="YOB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YOBU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FB9557" w14:textId="77777777" w:rsidR="00BC01D7" w:rsidRDefault="00BC01D7"/>
        </w:tc>
        <w:tc>
          <w:tcPr>
            <w:tcW w:w="4821" w:type="dxa"/>
          </w:tcPr>
          <w:p w14:paraId="1B9CFC94" w14:textId="77777777" w:rsidR="00BC01D7" w:rsidRDefault="00BC01D7">
            <w:pPr>
              <w:rPr>
                <w:sz w:val="22"/>
                <w:szCs w:val="22"/>
              </w:rPr>
            </w:pPr>
          </w:p>
          <w:p w14:paraId="709288AA" w14:textId="77777777" w:rsidR="00BC01D7" w:rsidRDefault="00E84D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YOZGAT BOZOK ÜNİVERSİTESİ</w:t>
            </w:r>
          </w:p>
          <w:p w14:paraId="4091C5DD" w14:textId="77777777" w:rsidR="00BC01D7" w:rsidRDefault="00E84D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İKTİSADİ VE İDARİ BİLİMLER FAKÜLTESİ</w:t>
            </w:r>
          </w:p>
          <w:p w14:paraId="33607C8A" w14:textId="0E7BDA72" w:rsidR="00BC01D7" w:rsidRDefault="00D0246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İKTİSAT </w:t>
            </w:r>
            <w:r w:rsidR="00E84D31">
              <w:rPr>
                <w:sz w:val="22"/>
                <w:szCs w:val="22"/>
              </w:rPr>
              <w:t>BÖLÜMÜ</w:t>
            </w:r>
          </w:p>
          <w:p w14:paraId="0287595F" w14:textId="7007FA31" w:rsidR="00BC01D7" w:rsidRDefault="00D02460">
            <w:pPr>
              <w:spacing w:line="360" w:lineRule="auto"/>
              <w:jc w:val="center"/>
            </w:pPr>
            <w:r w:rsidRPr="00D02460">
              <w:rPr>
                <w:bCs/>
                <w:sz w:val="22"/>
                <w:szCs w:val="22"/>
              </w:rPr>
              <w:t>ÇİFT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2460">
              <w:rPr>
                <w:bCs/>
                <w:sz w:val="22"/>
                <w:szCs w:val="22"/>
              </w:rPr>
              <w:t>ANADAL, YAN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2460">
              <w:rPr>
                <w:bCs/>
                <w:sz w:val="22"/>
                <w:szCs w:val="22"/>
              </w:rPr>
              <w:t xml:space="preserve">DAL, </w:t>
            </w:r>
            <w:r w:rsidR="00C55BC6">
              <w:rPr>
                <w:bCs/>
                <w:sz w:val="22"/>
                <w:szCs w:val="22"/>
              </w:rPr>
              <w:t>YATAY</w:t>
            </w:r>
            <w:r w:rsidRPr="00D02460">
              <w:rPr>
                <w:bCs/>
                <w:sz w:val="22"/>
                <w:szCs w:val="22"/>
              </w:rPr>
              <w:t xml:space="preserve"> VE </w:t>
            </w:r>
            <w:r w:rsidR="00C55BC6">
              <w:rPr>
                <w:bCs/>
                <w:sz w:val="22"/>
                <w:szCs w:val="22"/>
              </w:rPr>
              <w:t>DİKEY</w:t>
            </w:r>
            <w:r w:rsidRPr="00D02460">
              <w:rPr>
                <w:bCs/>
                <w:sz w:val="22"/>
                <w:szCs w:val="22"/>
              </w:rPr>
              <w:t xml:space="preserve"> GEÇİŞ KOMİSYONU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84D31">
              <w:rPr>
                <w:sz w:val="22"/>
                <w:szCs w:val="22"/>
              </w:rPr>
              <w:t>GÖREV TANIMI</w:t>
            </w:r>
          </w:p>
        </w:tc>
        <w:tc>
          <w:tcPr>
            <w:tcW w:w="2693" w:type="dxa"/>
          </w:tcPr>
          <w:p w14:paraId="1D7C472A" w14:textId="77777777" w:rsidR="00BC01D7" w:rsidRDefault="00BC01D7">
            <w:pPr>
              <w:tabs>
                <w:tab w:val="center" w:pos="1491"/>
              </w:tabs>
              <w:spacing w:line="276" w:lineRule="auto"/>
            </w:pPr>
          </w:p>
          <w:p w14:paraId="43C2CBD5" w14:textId="77777777" w:rsidR="00BC01D7" w:rsidRDefault="00E84D31">
            <w:pPr>
              <w:tabs>
                <w:tab w:val="center" w:pos="1491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DD01EB" wp14:editId="379F52CA">
                  <wp:extent cx="1483526" cy="1394706"/>
                  <wp:effectExtent l="0" t="0" r="0" b="0"/>
                  <wp:docPr id="2" name="image2.png" descr="Profile for Bozok Üniversitesi İİB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ofile for Bozok Üniversitesi İİBF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1D7" w14:paraId="352161C4" w14:textId="77777777" w:rsidTr="00C55BC6">
        <w:tc>
          <w:tcPr>
            <w:tcW w:w="2262" w:type="dxa"/>
          </w:tcPr>
          <w:p w14:paraId="1B1ECAB9" w14:textId="77777777" w:rsidR="00BC01D7" w:rsidRDefault="00E84D31">
            <w:r>
              <w:t>Birim</w:t>
            </w:r>
          </w:p>
        </w:tc>
        <w:tc>
          <w:tcPr>
            <w:tcW w:w="7514" w:type="dxa"/>
            <w:gridSpan w:val="2"/>
          </w:tcPr>
          <w:p w14:paraId="0753CE63" w14:textId="0F29EE28" w:rsidR="00BC01D7" w:rsidRDefault="00E84D31">
            <w:pPr>
              <w:rPr>
                <w:b w:val="0"/>
              </w:rPr>
            </w:pPr>
            <w:r>
              <w:rPr>
                <w:b w:val="0"/>
              </w:rPr>
              <w:t xml:space="preserve">İktisadi ve İdari Bilimler Fakültesi / </w:t>
            </w:r>
            <w:r w:rsidR="00D02460">
              <w:rPr>
                <w:b w:val="0"/>
              </w:rPr>
              <w:t xml:space="preserve">İktisat </w:t>
            </w:r>
            <w:r>
              <w:rPr>
                <w:b w:val="0"/>
              </w:rPr>
              <w:t>Bölümü</w:t>
            </w:r>
          </w:p>
        </w:tc>
      </w:tr>
      <w:tr w:rsidR="00BC01D7" w14:paraId="4EC51718" w14:textId="77777777" w:rsidTr="00C55BC6">
        <w:tc>
          <w:tcPr>
            <w:tcW w:w="2262" w:type="dxa"/>
          </w:tcPr>
          <w:p w14:paraId="5CB05FB6" w14:textId="77777777" w:rsidR="00BC01D7" w:rsidRDefault="00E84D31">
            <w:r>
              <w:t>Görev Adı</w:t>
            </w:r>
          </w:p>
        </w:tc>
        <w:tc>
          <w:tcPr>
            <w:tcW w:w="7514" w:type="dxa"/>
            <w:gridSpan w:val="2"/>
          </w:tcPr>
          <w:p w14:paraId="7554BC34" w14:textId="6984AFC6" w:rsidR="00BC01D7" w:rsidRDefault="00D02460">
            <w:pPr>
              <w:rPr>
                <w:b w:val="0"/>
              </w:rPr>
            </w:pPr>
            <w:r w:rsidRPr="00D02460">
              <w:rPr>
                <w:b w:val="0"/>
                <w:bCs/>
              </w:rPr>
              <w:t>Çift</w:t>
            </w:r>
            <w:r>
              <w:rPr>
                <w:b w:val="0"/>
                <w:bCs/>
              </w:rPr>
              <w:t xml:space="preserve"> </w:t>
            </w:r>
            <w:r w:rsidRPr="00D02460">
              <w:rPr>
                <w:b w:val="0"/>
                <w:bCs/>
              </w:rPr>
              <w:t>anadal, Yan</w:t>
            </w:r>
            <w:r>
              <w:rPr>
                <w:b w:val="0"/>
                <w:bCs/>
              </w:rPr>
              <w:t xml:space="preserve"> </w:t>
            </w:r>
            <w:r w:rsidRPr="00D02460">
              <w:rPr>
                <w:b w:val="0"/>
                <w:bCs/>
              </w:rPr>
              <w:t>dal, Dikey ve Yatay Geçiş Komisyonu</w:t>
            </w:r>
          </w:p>
        </w:tc>
      </w:tr>
      <w:tr w:rsidR="00BC01D7" w14:paraId="711FD8F5" w14:textId="77777777" w:rsidTr="00C55BC6">
        <w:tc>
          <w:tcPr>
            <w:tcW w:w="2262" w:type="dxa"/>
          </w:tcPr>
          <w:p w14:paraId="7A13C576" w14:textId="77777777" w:rsidR="00BC01D7" w:rsidRDefault="00E84D31">
            <w:r>
              <w:t>Sorumluluk Alanı</w:t>
            </w:r>
          </w:p>
        </w:tc>
        <w:tc>
          <w:tcPr>
            <w:tcW w:w="7514" w:type="dxa"/>
            <w:gridSpan w:val="2"/>
          </w:tcPr>
          <w:p w14:paraId="638B4696" w14:textId="4FF2A9FB" w:rsidR="00BC01D7" w:rsidRDefault="00D02460">
            <w:pPr>
              <w:rPr>
                <w:b w:val="0"/>
              </w:rPr>
            </w:pPr>
            <w:r>
              <w:rPr>
                <w:b w:val="0"/>
              </w:rPr>
              <w:t>İktisat</w:t>
            </w:r>
            <w:r w:rsidR="00197C34">
              <w:rPr>
                <w:b w:val="0"/>
              </w:rPr>
              <w:t xml:space="preserve"> Bölümü</w:t>
            </w:r>
            <w:r w:rsidR="00E84D31">
              <w:rPr>
                <w:b w:val="0"/>
              </w:rPr>
              <w:t>'ne başka üniversitelerden veya bölümlerden gelen öğrencilerin yatay ve dikey geçiş başvurularını değerlendirmek, ders intibaklarını yapmak ve uyum süreçlerini takip etmek.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bCs/>
              </w:rPr>
              <w:t>Ü</w:t>
            </w:r>
            <w:r w:rsidRPr="0087764C">
              <w:rPr>
                <w:b w:val="0"/>
                <w:bCs/>
              </w:rPr>
              <w:t xml:space="preserve">niversitenin ilgili yönetmelik ve yönergeleri çerçevesinde, </w:t>
            </w:r>
            <w:r>
              <w:rPr>
                <w:b w:val="0"/>
                <w:bCs/>
              </w:rPr>
              <w:t xml:space="preserve">İktisat Bölümü </w:t>
            </w:r>
            <w:r w:rsidRPr="0087764C">
              <w:rPr>
                <w:b w:val="0"/>
                <w:bCs/>
              </w:rPr>
              <w:t>çift anadal ve yan</w:t>
            </w:r>
            <w:r>
              <w:rPr>
                <w:b w:val="0"/>
                <w:bCs/>
              </w:rPr>
              <w:t xml:space="preserve"> </w:t>
            </w:r>
            <w:r w:rsidRPr="0087764C">
              <w:rPr>
                <w:b w:val="0"/>
                <w:bCs/>
              </w:rPr>
              <w:t>dal programlarının planlanması, yürütülmesi ve denetlenmesinden sorumludur.</w:t>
            </w:r>
          </w:p>
        </w:tc>
      </w:tr>
      <w:tr w:rsidR="00BC01D7" w14:paraId="67B40C92" w14:textId="77777777" w:rsidTr="00C55BC6">
        <w:tc>
          <w:tcPr>
            <w:tcW w:w="2262" w:type="dxa"/>
          </w:tcPr>
          <w:p w14:paraId="6DD3217E" w14:textId="77777777" w:rsidR="00BC01D7" w:rsidRDefault="00E84D31">
            <w:r>
              <w:t>Görevin Amacı</w:t>
            </w:r>
          </w:p>
        </w:tc>
        <w:tc>
          <w:tcPr>
            <w:tcW w:w="7514" w:type="dxa"/>
            <w:gridSpan w:val="2"/>
          </w:tcPr>
          <w:p w14:paraId="57B8CD97" w14:textId="7DEB3D41" w:rsidR="00BC01D7" w:rsidRDefault="00197C34">
            <w:pPr>
              <w:jc w:val="both"/>
              <w:rPr>
                <w:b w:val="0"/>
              </w:rPr>
            </w:pPr>
            <w:r>
              <w:rPr>
                <w:b w:val="0"/>
              </w:rPr>
              <w:t>İ</w:t>
            </w:r>
            <w:r w:rsidR="00D02460">
              <w:rPr>
                <w:b w:val="0"/>
              </w:rPr>
              <w:t>ktisat</w:t>
            </w:r>
            <w:r>
              <w:rPr>
                <w:b w:val="0"/>
              </w:rPr>
              <w:t xml:space="preserve"> Bölümü'ne </w:t>
            </w:r>
            <w:r w:rsidR="00E84D31">
              <w:rPr>
                <w:b w:val="0"/>
              </w:rPr>
              <w:t>yatay veya dikey geçiş yapmak isteyen öğrencilerin başvuru süreçlerini düzenlemek, değerlendirmek ve öğrencilerin uyum süreçlerini sağlıklı bir şekilde yürütmek.</w:t>
            </w:r>
            <w:r w:rsidR="00D02460">
              <w:rPr>
                <w:b w:val="0"/>
              </w:rPr>
              <w:t xml:space="preserve"> İktisat Bölümü </w:t>
            </w:r>
            <w:r w:rsidR="00D02460">
              <w:rPr>
                <w:b w:val="0"/>
                <w:bCs/>
              </w:rPr>
              <w:t>çift anadal ve y</w:t>
            </w:r>
            <w:r w:rsidR="00D02460" w:rsidRPr="0087764C">
              <w:rPr>
                <w:b w:val="0"/>
                <w:bCs/>
              </w:rPr>
              <w:t>an</w:t>
            </w:r>
            <w:r w:rsidR="00D02460">
              <w:rPr>
                <w:b w:val="0"/>
                <w:bCs/>
              </w:rPr>
              <w:t xml:space="preserve"> </w:t>
            </w:r>
            <w:r w:rsidR="00D02460" w:rsidRPr="0087764C">
              <w:rPr>
                <w:b w:val="0"/>
                <w:bCs/>
              </w:rPr>
              <w:t>da</w:t>
            </w:r>
            <w:r w:rsidR="00D02460">
              <w:rPr>
                <w:b w:val="0"/>
                <w:bCs/>
              </w:rPr>
              <w:t>l</w:t>
            </w:r>
            <w:r w:rsidR="00D02460" w:rsidRPr="0087764C">
              <w:rPr>
                <w:b w:val="0"/>
                <w:bCs/>
              </w:rPr>
              <w:t xml:space="preserve"> programlarının adil, şeffaf ve akademik ilkelere uygun şekilde yürütülmesini sağlamak; öğrencilerin bu programlardan en verimli şeki</w:t>
            </w:r>
            <w:r w:rsidR="00D02460">
              <w:rPr>
                <w:b w:val="0"/>
                <w:bCs/>
              </w:rPr>
              <w:t>lde yararlanmasına destek olmak</w:t>
            </w:r>
          </w:p>
        </w:tc>
      </w:tr>
      <w:tr w:rsidR="00BC01D7" w14:paraId="016A0499" w14:textId="77777777" w:rsidTr="00C55BC6">
        <w:tc>
          <w:tcPr>
            <w:tcW w:w="2262" w:type="dxa"/>
          </w:tcPr>
          <w:p w14:paraId="01531A67" w14:textId="77777777" w:rsidR="00BC01D7" w:rsidRDefault="00E84D31">
            <w:r>
              <w:t xml:space="preserve">Görev ve Sorumluluklar </w:t>
            </w:r>
          </w:p>
        </w:tc>
        <w:tc>
          <w:tcPr>
            <w:tcW w:w="7514" w:type="dxa"/>
            <w:gridSpan w:val="2"/>
          </w:tcPr>
          <w:p w14:paraId="10310143" w14:textId="77777777" w:rsidR="00C55BC6" w:rsidRDefault="00C55BC6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Yatay geçiş ve dikey geçiş başvurusu yapan öğrencilerin daha önce almış oldukları derslerin İktisat Bölümü dersleriyle uyumluluğunu değerlendirmek ve muafiyetleri belirlemek.</w:t>
            </w:r>
          </w:p>
          <w:p w14:paraId="584915A4" w14:textId="77777777" w:rsidR="00D02460" w:rsidRDefault="0042332B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Yatay ve dikey g</w:t>
            </w:r>
            <w:r w:rsidR="00E84D31">
              <w:rPr>
                <w:b w:val="0"/>
                <w:color w:val="000000"/>
              </w:rPr>
              <w:t>eçiş başvurularını akademik başarı, kontenjan durumu ve yönetmeliklere göre değerlendirip onaylamak.</w:t>
            </w:r>
          </w:p>
          <w:p w14:paraId="73AE185E" w14:textId="7731E465" w:rsidR="00D02460" w:rsidRPr="00C55BC6" w:rsidRDefault="00D02460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 w:rsidRPr="00D02460">
              <w:rPr>
                <w:b w:val="0"/>
              </w:rPr>
              <w:t>İktisat Bölümü çift anadal ve yan dal başvuru ve kabul sürecine ilişkin ölçütleri belirlemek ve güncellemek ve programlara kabul edilen öğrencilerin ders planlarını onaylamak ve akademik süreçlerini izlemek</w:t>
            </w:r>
            <w:r w:rsidR="00C55BC6">
              <w:rPr>
                <w:b w:val="0"/>
              </w:rPr>
              <w:t>.</w:t>
            </w:r>
          </w:p>
          <w:p w14:paraId="273BB4CD" w14:textId="0B80F846" w:rsidR="00C55BC6" w:rsidRPr="00C55BC6" w:rsidRDefault="00C55BC6" w:rsidP="007F40DF">
            <w:pPr>
              <w:pStyle w:val="ListeParagraf"/>
              <w:numPr>
                <w:ilvl w:val="0"/>
                <w:numId w:val="1"/>
              </w:numPr>
              <w:ind w:left="357" w:hanging="357"/>
              <w:jc w:val="both"/>
              <w:rPr>
                <w:b w:val="0"/>
              </w:rPr>
            </w:pPr>
            <w:r>
              <w:rPr>
                <w:b w:val="0"/>
              </w:rPr>
              <w:t>Çift anadal ve yan dal p</w:t>
            </w:r>
            <w:r w:rsidRPr="0087764C">
              <w:rPr>
                <w:b w:val="0"/>
              </w:rPr>
              <w:t>rogramların içeriğini ve ders uyumluluklarını değerlendirmek</w:t>
            </w:r>
            <w:r>
              <w:rPr>
                <w:b w:val="0"/>
              </w:rPr>
              <w:t>, ö</w:t>
            </w:r>
            <w:r w:rsidRPr="00C55BC6">
              <w:rPr>
                <w:b w:val="0"/>
              </w:rPr>
              <w:t>ğrencilerin programlardan mezuniyet koşullarını sağladığını denetlemek,</w:t>
            </w:r>
            <w:r w:rsidRPr="0087764C">
              <w:rPr>
                <w:b w:val="0"/>
              </w:rPr>
              <w:t xml:space="preserve"> </w:t>
            </w:r>
            <w:r>
              <w:rPr>
                <w:b w:val="0"/>
              </w:rPr>
              <w:t>g</w:t>
            </w:r>
            <w:r w:rsidRPr="0087764C">
              <w:rPr>
                <w:b w:val="0"/>
              </w:rPr>
              <w:t>erekli durumlarda ilgili öğrencilere danışmanlık ve yönlendirme yapmak</w:t>
            </w:r>
            <w:r>
              <w:rPr>
                <w:b w:val="0"/>
              </w:rPr>
              <w:t xml:space="preserve"> ve ü</w:t>
            </w:r>
            <w:r w:rsidRPr="00C55BC6">
              <w:rPr>
                <w:b w:val="0"/>
              </w:rPr>
              <w:t>niversite yönetimi ve diğer bölümlerle koordinasyonu sağlamak</w:t>
            </w:r>
          </w:p>
          <w:p w14:paraId="4140B9E4" w14:textId="3A045E2A" w:rsidR="00BC01D7" w:rsidRDefault="0042332B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</w:t>
            </w:r>
            <w:r w:rsidR="00E84D31">
              <w:rPr>
                <w:b w:val="0"/>
                <w:color w:val="000000"/>
              </w:rPr>
              <w:t>aşvuru süreci, gerekli belgeler ve başvuru koşulları hakkında öğrencilere bilgi vermek.</w:t>
            </w:r>
          </w:p>
          <w:p w14:paraId="2B3A7EA2" w14:textId="77777777" w:rsidR="00BC01D7" w:rsidRDefault="00C55BC6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Çift anadal, yan dal, y</w:t>
            </w:r>
            <w:r w:rsidR="00E84D31">
              <w:rPr>
                <w:b w:val="0"/>
                <w:color w:val="000000"/>
              </w:rPr>
              <w:t>atay ve dikey geçiş süreçlerini üniversitenin ve YÖK'ün belirlediği yönetmeliklere uygun olarak yürütmek.</w:t>
            </w:r>
          </w:p>
          <w:p w14:paraId="6B283AF0" w14:textId="417AFC22" w:rsidR="00A22B0C" w:rsidRDefault="00A22B0C" w:rsidP="007F40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b w:val="0"/>
                <w:color w:val="000000"/>
              </w:rPr>
            </w:pPr>
            <w:r w:rsidRPr="00A22B0C">
              <w:rPr>
                <w:b w:val="0"/>
                <w:bCs/>
                <w:color w:val="000000"/>
              </w:rPr>
              <w:t>Komisyon İktisat Bölüm Başkanlığına karşı sorumludur.</w:t>
            </w:r>
          </w:p>
        </w:tc>
      </w:tr>
      <w:tr w:rsidR="00BC01D7" w14:paraId="3D33F2EE" w14:textId="77777777" w:rsidTr="00C55BC6">
        <w:trPr>
          <w:trHeight w:val="346"/>
        </w:trPr>
        <w:tc>
          <w:tcPr>
            <w:tcW w:w="2262" w:type="dxa"/>
          </w:tcPr>
          <w:p w14:paraId="5B3F1B5A" w14:textId="77777777" w:rsidR="00BC01D7" w:rsidRDefault="00E84D31">
            <w:r>
              <w:t>Yetkiler</w:t>
            </w:r>
          </w:p>
        </w:tc>
        <w:tc>
          <w:tcPr>
            <w:tcW w:w="7514" w:type="dxa"/>
            <w:gridSpan w:val="2"/>
          </w:tcPr>
          <w:p w14:paraId="1F092743" w14:textId="7AD38841" w:rsidR="00BC01D7" w:rsidRDefault="00C55BC6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="00E84D31">
              <w:rPr>
                <w:b w:val="0"/>
              </w:rPr>
              <w:t>Görev ve sorumlulukları gerçekleştirme yetkisine sahip olmak.</w:t>
            </w:r>
          </w:p>
        </w:tc>
      </w:tr>
      <w:tr w:rsidR="00BC01D7" w14:paraId="3B94E982" w14:textId="77777777" w:rsidTr="00C55BC6">
        <w:trPr>
          <w:trHeight w:val="1134"/>
        </w:trPr>
        <w:tc>
          <w:tcPr>
            <w:tcW w:w="2262" w:type="dxa"/>
          </w:tcPr>
          <w:p w14:paraId="0CFB7A24" w14:textId="77777777" w:rsidR="00BC01D7" w:rsidRDefault="00E84D31">
            <w:r>
              <w:t>Yasal Dayanak</w:t>
            </w:r>
          </w:p>
        </w:tc>
        <w:tc>
          <w:tcPr>
            <w:tcW w:w="7514" w:type="dxa"/>
            <w:gridSpan w:val="2"/>
          </w:tcPr>
          <w:p w14:paraId="26897D36" w14:textId="77777777" w:rsidR="00BC01D7" w:rsidRDefault="00E84D31" w:rsidP="00C55B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Yükseköğretim Kanunu (2547 Sayılı Kanun)</w:t>
            </w:r>
          </w:p>
          <w:p w14:paraId="3087A733" w14:textId="5AEFEC2E" w:rsidR="00C55BC6" w:rsidRPr="00C55BC6" w:rsidRDefault="00C55BC6" w:rsidP="00C55BC6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="Times New Roman"/>
                <w:b w:val="0"/>
                <w:bCs/>
              </w:rPr>
            </w:pPr>
            <w:r w:rsidRPr="00864FDA">
              <w:rPr>
                <w:rFonts w:cs="Times New Roman"/>
                <w:b w:val="0"/>
                <w:bCs/>
              </w:rPr>
              <w:t>Yükseköğretim Kurulu (YÖK) Çift Anadal ve Yan</w:t>
            </w:r>
            <w:r>
              <w:rPr>
                <w:rFonts w:cs="Times New Roman"/>
                <w:b w:val="0"/>
                <w:bCs/>
              </w:rPr>
              <w:t xml:space="preserve"> </w:t>
            </w:r>
            <w:r w:rsidRPr="00864FDA">
              <w:rPr>
                <w:rFonts w:cs="Times New Roman"/>
                <w:b w:val="0"/>
                <w:bCs/>
              </w:rPr>
              <w:t>dal Yönetmeliği</w:t>
            </w:r>
          </w:p>
          <w:p w14:paraId="03955B0F" w14:textId="77777777" w:rsidR="00BC01D7" w:rsidRDefault="00E84D31" w:rsidP="00C55B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000000"/>
              </w:rPr>
            </w:pPr>
            <w:r w:rsidRPr="008D72C3">
              <w:rPr>
                <w:b w:val="0"/>
                <w:color w:val="000000"/>
              </w:rPr>
              <w:t>Yükseköğretim Kurulu (YÖK) Yönetmelikleri</w:t>
            </w:r>
          </w:p>
          <w:p w14:paraId="2169C3E8" w14:textId="1AFACEBB" w:rsidR="00C55BC6" w:rsidRPr="00C55BC6" w:rsidRDefault="00C55BC6" w:rsidP="00C55BC6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="Times New Roman"/>
                <w:b w:val="0"/>
                <w:bCs/>
              </w:rPr>
            </w:pPr>
            <w:r w:rsidRPr="00526141">
              <w:rPr>
                <w:rFonts w:cs="Times New Roman"/>
                <w:b w:val="0"/>
                <w:bCs/>
              </w:rPr>
              <w:t>Yozgat Bozok Üniversitesi Eğitim-Öğretim ve Sınav Yönetmeliği</w:t>
            </w:r>
          </w:p>
          <w:p w14:paraId="0DE0EA7D" w14:textId="1502DDC9" w:rsidR="008D72C3" w:rsidRDefault="008D72C3" w:rsidP="00C55B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Yozgat Bozok Üniversitesi Ön Lisans ve Lisans Programlarına Yatay Geçiş̧, Programlar Arası Yatay Geçiş̧, Dikey Geçiş̧, Değişim </w:t>
            </w:r>
            <w:r>
              <w:rPr>
                <w:b w:val="0"/>
                <w:color w:val="000000"/>
              </w:rPr>
              <w:lastRenderedPageBreak/>
              <w:t xml:space="preserve">Programlarında Öğrencilik, Eşzamanlı Öğrenimde Öğrencilik, Özel Öğrencilik, Muafiyet ve İntibak </w:t>
            </w:r>
            <w:r w:rsidR="0042332B">
              <w:rPr>
                <w:b w:val="0"/>
                <w:color w:val="000000"/>
              </w:rPr>
              <w:t>İşlemleri</w:t>
            </w:r>
            <w:r>
              <w:rPr>
                <w:b w:val="0"/>
                <w:color w:val="000000"/>
              </w:rPr>
              <w:t xml:space="preserve"> Yönergesi</w:t>
            </w:r>
          </w:p>
          <w:p w14:paraId="7938D2D9" w14:textId="6535C5BE" w:rsidR="00C55BC6" w:rsidRDefault="00C55BC6" w:rsidP="00C55B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Yozgat Bozok Üniversitesi </w:t>
            </w:r>
            <w:r w:rsidRPr="0087764C">
              <w:rPr>
                <w:b w:val="0"/>
                <w:bCs/>
              </w:rPr>
              <w:t>Çift Anadal ve Yan</w:t>
            </w:r>
            <w:r>
              <w:rPr>
                <w:b w:val="0"/>
                <w:bCs/>
              </w:rPr>
              <w:t xml:space="preserve"> </w:t>
            </w:r>
            <w:r w:rsidRPr="0087764C">
              <w:rPr>
                <w:b w:val="0"/>
                <w:bCs/>
              </w:rPr>
              <w:t>dal Programları Yönergesi</w:t>
            </w:r>
          </w:p>
          <w:p w14:paraId="225F42DD" w14:textId="00B8A206" w:rsidR="00BC01D7" w:rsidRDefault="008D72C3" w:rsidP="00C55B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Bölüm Kurul</w:t>
            </w:r>
            <w:r w:rsidR="00A228E9">
              <w:rPr>
                <w:b w:val="0"/>
                <w:color w:val="000000"/>
              </w:rPr>
              <w:t>u</w:t>
            </w:r>
            <w:r>
              <w:rPr>
                <w:b w:val="0"/>
                <w:color w:val="000000"/>
              </w:rPr>
              <w:t xml:space="preserve"> ve Fakülte Yönetim Kurulu Kararları</w:t>
            </w:r>
          </w:p>
        </w:tc>
      </w:tr>
    </w:tbl>
    <w:p w14:paraId="49A7D48F" w14:textId="77777777" w:rsidR="00BC01D7" w:rsidRDefault="00BC01D7"/>
    <w:sectPr w:rsidR="00BC01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14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E6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7A00E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6439099">
    <w:abstractNumId w:val="0"/>
  </w:num>
  <w:num w:numId="2" w16cid:durableId="836379708">
    <w:abstractNumId w:val="2"/>
  </w:num>
  <w:num w:numId="3" w16cid:durableId="2113740777">
    <w:abstractNumId w:val="3"/>
  </w:num>
  <w:num w:numId="4" w16cid:durableId="38387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D7"/>
    <w:rsid w:val="001358F6"/>
    <w:rsid w:val="00170366"/>
    <w:rsid w:val="00197C34"/>
    <w:rsid w:val="002348AF"/>
    <w:rsid w:val="00312514"/>
    <w:rsid w:val="003E39C8"/>
    <w:rsid w:val="0042332B"/>
    <w:rsid w:val="00433BFC"/>
    <w:rsid w:val="00672261"/>
    <w:rsid w:val="006F1A6E"/>
    <w:rsid w:val="007F40DF"/>
    <w:rsid w:val="008D72C3"/>
    <w:rsid w:val="008E5635"/>
    <w:rsid w:val="00A228E9"/>
    <w:rsid w:val="00A22B0C"/>
    <w:rsid w:val="00AB7911"/>
    <w:rsid w:val="00B23EB0"/>
    <w:rsid w:val="00BC01D7"/>
    <w:rsid w:val="00C55BC6"/>
    <w:rsid w:val="00CE3053"/>
    <w:rsid w:val="00D02460"/>
    <w:rsid w:val="00D704F4"/>
    <w:rsid w:val="00E84D31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E885"/>
  <w15:docId w15:val="{2BEF8628-36DE-A04D-A566-C431179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1"/>
    </w:pPr>
    <w:rPr>
      <w:color w:val="2F549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2"/>
    </w:p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Calibri"/>
      <w:i/>
      <w:color w:val="2F5496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Calibri"/>
      <w:color w:val="2F549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/>
    </w:pPr>
    <w:rPr>
      <w:rFonts w:ascii="Calibri" w:eastAsia="Calibri" w:hAnsi="Calibri" w:cs="Calibri"/>
      <w:color w:val="000000"/>
      <w:sz w:val="56"/>
      <w:szCs w:val="56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02460"/>
    <w:pPr>
      <w:ind w:left="720"/>
      <w:contextualSpacing/>
    </w:pPr>
    <w:rPr>
      <w:rFonts w:eastAsiaTheme="minorHAnsi" w:cstheme="minorBidi"/>
      <w:color w:val="000000" w:themeColor="text1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Mihriban SARIBULAK</cp:lastModifiedBy>
  <cp:revision>17</cp:revision>
  <dcterms:created xsi:type="dcterms:W3CDTF">2025-05-21T15:43:00Z</dcterms:created>
  <dcterms:modified xsi:type="dcterms:W3CDTF">2025-10-17T20:48:00Z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412e6613-c0c0-4c59-a6c8-aac9e543e873</vt:lpwstr>
  </property>
</Properties>
</file>