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1A" w:rsidRDefault="00044E1F">
      <w:pPr>
        <w:spacing w:before="480" w:after="80"/>
        <w:jc w:val="center"/>
      </w:pPr>
      <w:r>
        <w:rPr>
          <w:b/>
          <w:bCs/>
          <w:color w:val="8B2500"/>
          <w:sz w:val="36"/>
          <w:szCs w:val="36"/>
        </w:rPr>
        <w:t>ÖĞRENCİ AKADEMİK GELİŞİM ETKİNLİĞİ PROGRAMI</w:t>
      </w:r>
    </w:p>
    <w:p w:rsidR="000D601A" w:rsidRDefault="00044E1F">
      <w:pPr>
        <w:spacing w:after="60"/>
        <w:jc w:val="center"/>
      </w:pPr>
      <w:r>
        <w:rPr>
          <w:b/>
          <w:bCs/>
          <w:color w:val="8B2500"/>
          <w:sz w:val="32"/>
          <w:szCs w:val="32"/>
        </w:rPr>
        <w:t>(AGEP)</w:t>
      </w:r>
    </w:p>
    <w:p w:rsidR="000D601A" w:rsidRDefault="00044E1F">
      <w:pPr>
        <w:spacing w:after="80"/>
        <w:jc w:val="center"/>
      </w:pPr>
      <w:r>
        <w:rPr>
          <w:b/>
          <w:bCs/>
          <w:color w:val="C0430A"/>
          <w:sz w:val="32"/>
          <w:szCs w:val="32"/>
        </w:rPr>
        <w:t>UYGULAMA PLANI</w:t>
      </w:r>
    </w:p>
    <w:p w:rsidR="000D601A" w:rsidRDefault="00044E1F">
      <w:pPr>
        <w:spacing w:after="400"/>
        <w:jc w:val="center"/>
      </w:pPr>
      <w:r>
        <w:rPr>
          <w:b/>
          <w:bCs/>
          <w:color w:val="555555"/>
          <w:sz w:val="26"/>
          <w:szCs w:val="26"/>
        </w:rPr>
        <w:t>2026 – 2027 Akademik Yılı</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Ders Adı</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Öğrenme Güçlüğü Olan Çocuğa Yaklaşım</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Ders Kodu</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CGB482</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Dönem / Yıl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4. Yıl (Lisans Son Sınıf)</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Eğitim Dili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Türkçe</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AKTS Kredisi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6 AKTS</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Haftalık Ders Saati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2 Saat (Teorik)</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Öğretim Üyesi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D8274C">
            <w:r>
              <w:rPr>
                <w:sz w:val="20"/>
                <w:szCs w:val="20"/>
              </w:rPr>
              <w:t xml:space="preserve">Dr. </w:t>
            </w:r>
            <w:proofErr w:type="spellStart"/>
            <w:r>
              <w:rPr>
                <w:sz w:val="20"/>
                <w:szCs w:val="20"/>
              </w:rPr>
              <w:t>Öğr</w:t>
            </w:r>
            <w:proofErr w:type="spellEnd"/>
            <w:r>
              <w:rPr>
                <w:sz w:val="20"/>
                <w:szCs w:val="20"/>
              </w:rPr>
              <w:t>. Üyesi Hamza ÖZ</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Öğretim Sistemi</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Örgün Öğretim</w:t>
            </w:r>
          </w:p>
        </w:tc>
      </w:tr>
      <w:tr w:rsidR="000D601A">
        <w:tc>
          <w:tcPr>
            <w:tcW w:w="28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Ön Koşul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Yok</w:t>
            </w:r>
          </w:p>
        </w:tc>
      </w:tr>
    </w:tbl>
    <w:p w:rsidR="000D601A" w:rsidRDefault="000D601A">
      <w:pPr>
        <w:pBdr>
          <w:bottom w:val="single" w:sz="4" w:space="1" w:color="C0430A"/>
        </w:pBdr>
        <w:spacing w:before="160" w:after="160"/>
      </w:pPr>
    </w:p>
    <w:p w:rsidR="000D601A" w:rsidRDefault="00044E1F">
      <w:pPr>
        <w:pStyle w:val="Balk1"/>
      </w:pPr>
      <w:r>
        <w:t>1. Hedef Grup ve Kapsam</w:t>
      </w:r>
    </w:p>
    <w:p w:rsidR="000D601A" w:rsidRDefault="00044E1F" w:rsidP="00D8274C">
      <w:pPr>
        <w:spacing w:before="80" w:after="80"/>
        <w:jc w:val="both"/>
      </w:pPr>
      <w:r>
        <w:t>Bu AGEP Uygulama Planı, CGB482 – Öğrenme Güçlüğü Olan Çocuğa Yaklaşım dersi kapsamında öğrenim görmekte olan lisans düzeyi 4. sınıf öğrencilerini hedef almaktadır. Ders, lisans programının son yılında sunulmakta olup öğrencilerin özel eğitim ve klinik uygulamaya yönelik mesleki yetkinliklerini doruk noktasına taşımayı hedeflemektedir.</w:t>
      </w:r>
    </w:p>
    <w:p w:rsidR="000D601A" w:rsidRDefault="00044E1F" w:rsidP="00D8274C">
      <w:pPr>
        <w:spacing w:before="80" w:after="80"/>
        <w:jc w:val="both"/>
      </w:pPr>
      <w:r>
        <w:t>Hedef grup özellikleri:</w:t>
      </w:r>
    </w:p>
    <w:p w:rsidR="000D601A" w:rsidRDefault="00044E1F" w:rsidP="00D8274C">
      <w:pPr>
        <w:pStyle w:val="ListeParagraf"/>
        <w:numPr>
          <w:ilvl w:val="0"/>
          <w:numId w:val="2"/>
        </w:numPr>
        <w:spacing w:before="60" w:after="60"/>
        <w:jc w:val="both"/>
      </w:pPr>
      <w:r>
        <w:t>Lisans programının 4. (son) sınıfında öğrenim görmekte olan hemşirelik ve sağlık bilimleri öğrencileri</w:t>
      </w:r>
    </w:p>
    <w:p w:rsidR="000D601A" w:rsidRDefault="00044E1F" w:rsidP="00D8274C">
      <w:pPr>
        <w:pStyle w:val="ListeParagraf"/>
        <w:numPr>
          <w:ilvl w:val="0"/>
          <w:numId w:val="2"/>
        </w:numPr>
        <w:spacing w:before="60" w:after="60"/>
        <w:jc w:val="both"/>
      </w:pPr>
      <w:r>
        <w:t>Daha önce temel psikoloji, gelişim psikolojisi ve özel eğitim derslerini tamamlamış, konuya ilişkin ön bilgi birikimine sahip öğrenciler</w:t>
      </w:r>
    </w:p>
    <w:p w:rsidR="000D601A" w:rsidRDefault="00044E1F" w:rsidP="00D8274C">
      <w:pPr>
        <w:pStyle w:val="ListeParagraf"/>
        <w:numPr>
          <w:ilvl w:val="0"/>
          <w:numId w:val="2"/>
        </w:numPr>
        <w:spacing w:before="60" w:after="60"/>
        <w:jc w:val="both"/>
      </w:pPr>
      <w:r>
        <w:t>Klinik uygulamalar ve meslek yaşamı eşiğinde öğrenme güçlüğüne sahip çocuklar ve ailelerle doğrudan çalışacak adaylar</w:t>
      </w:r>
    </w:p>
    <w:p w:rsidR="000D601A" w:rsidRDefault="00044E1F" w:rsidP="00D8274C">
      <w:pPr>
        <w:pStyle w:val="ListeParagraf"/>
        <w:numPr>
          <w:ilvl w:val="0"/>
          <w:numId w:val="2"/>
        </w:numPr>
        <w:spacing w:before="60" w:after="60"/>
        <w:jc w:val="both"/>
      </w:pPr>
      <w:proofErr w:type="spellStart"/>
      <w:r>
        <w:t>Multidisipliner</w:t>
      </w:r>
      <w:proofErr w:type="spellEnd"/>
      <w:r>
        <w:t xml:space="preserve"> ekip çalışması ve kanıta dayalı uygulamaların ön planda olduğu karmaşık vaka senaryolarını analiz edebilecek akademik olgunluğa ulaşmış bireyler</w:t>
      </w:r>
    </w:p>
    <w:p w:rsidR="000D601A" w:rsidRDefault="00044E1F" w:rsidP="00D8274C">
      <w:pPr>
        <w:spacing w:before="80" w:after="80"/>
        <w:jc w:val="both"/>
      </w:pPr>
      <w:r>
        <w:t>Kapsam açısından bu plan; 14 haftalık teorik ders süreci, ödev, makale kritiği, bireysel çalışma ve soru-yanıt gibi çok bileşenli aktif öğrenme etkinliklerini, iki aşamalı ara sınav değerlendirmesini ve 143 saatlik yoğun akademik iş yükünü bütüncül bir çerçevede ele almaktadır. Ders aynı zamanda lisans eğitiminin en yüksek AKTS ağırlıklı derslerinden biri olma özelliği taşımaktadır (6 AKTS).</w:t>
      </w:r>
    </w:p>
    <w:p w:rsidR="000D601A" w:rsidRDefault="000D601A">
      <w:pPr>
        <w:pBdr>
          <w:bottom w:val="single" w:sz="4" w:space="1" w:color="C0430A"/>
        </w:pBdr>
        <w:spacing w:before="160" w:after="160"/>
      </w:pPr>
    </w:p>
    <w:p w:rsidR="000D601A" w:rsidRDefault="00044E1F">
      <w:pPr>
        <w:pStyle w:val="Balk1"/>
      </w:pPr>
      <w:r>
        <w:t>2. Amaç</w:t>
      </w:r>
    </w:p>
    <w:p w:rsidR="000D601A" w:rsidRDefault="00044E1F" w:rsidP="00D8274C">
      <w:pPr>
        <w:spacing w:before="80" w:after="80"/>
        <w:jc w:val="both"/>
      </w:pPr>
      <w:r>
        <w:lastRenderedPageBreak/>
        <w:t xml:space="preserve">AGEP Uygulama Planının temel amacı, lisans programının son yılında yer alan CGB482 dersi çerçevesinde öğrencilerin öğrenme güçlüğüne sahip çocuklara yönelik kapsamlı bilgi, beceri ve mesleki tutum geliştirmelerini desteklemektir. Bu ders, öğrencilerin yalnızca tanımlayıcı bilgi edinmekle kalmayıp </w:t>
      </w:r>
      <w:proofErr w:type="spellStart"/>
      <w:r>
        <w:t>klinisyen</w:t>
      </w:r>
      <w:proofErr w:type="spellEnd"/>
      <w:r>
        <w:t xml:space="preserve"> gözüyle değerlendirme yapabilmelerini, uygun müdahale stratejileri planlayabilmelerini ve </w:t>
      </w:r>
      <w:proofErr w:type="spellStart"/>
      <w:r>
        <w:t>multidisipliner</w:t>
      </w:r>
      <w:proofErr w:type="spellEnd"/>
      <w:r>
        <w:t xml:space="preserve"> ekiplerde etkin rol üstlenebilmelerini amaçlamaktadır.</w:t>
      </w:r>
    </w:p>
    <w:p w:rsidR="000D601A" w:rsidRDefault="00044E1F" w:rsidP="00D8274C">
      <w:pPr>
        <w:spacing w:before="80" w:after="80"/>
        <w:jc w:val="both"/>
      </w:pPr>
      <w:r>
        <w:t>Bu plan doğrultusunda ulaşılmak istenen özgül amaçlar şunlardır:</w:t>
      </w:r>
    </w:p>
    <w:p w:rsidR="000D601A" w:rsidRDefault="00044E1F" w:rsidP="00D8274C">
      <w:pPr>
        <w:pStyle w:val="ListeParagraf"/>
        <w:numPr>
          <w:ilvl w:val="0"/>
          <w:numId w:val="3"/>
        </w:numPr>
        <w:spacing w:before="60" w:after="60"/>
        <w:jc w:val="both"/>
      </w:pPr>
      <w:r>
        <w:t>Öğrenme güçlüğünün (</w:t>
      </w:r>
      <w:proofErr w:type="spellStart"/>
      <w:r>
        <w:t>disleksi</w:t>
      </w:r>
      <w:proofErr w:type="spellEnd"/>
      <w:r>
        <w:t xml:space="preserve">, </w:t>
      </w:r>
      <w:proofErr w:type="spellStart"/>
      <w:r>
        <w:t>diskalkuli</w:t>
      </w:r>
      <w:proofErr w:type="spellEnd"/>
      <w:r>
        <w:t xml:space="preserve">, </w:t>
      </w:r>
      <w:proofErr w:type="spellStart"/>
      <w:r>
        <w:t>disgrafi</w:t>
      </w:r>
      <w:proofErr w:type="spellEnd"/>
      <w:r>
        <w:t xml:space="preserve"> ve diğer alt türler </w:t>
      </w:r>
      <w:proofErr w:type="gramStart"/>
      <w:r>
        <w:t>dahil</w:t>
      </w:r>
      <w:proofErr w:type="gramEnd"/>
      <w:r>
        <w:t>) tanımını, sınıflandırılmasını ve tanılama ölçütlerini bilimsel bir perspektiften kavramalarını sağlamak</w:t>
      </w:r>
    </w:p>
    <w:p w:rsidR="000D601A" w:rsidRDefault="00044E1F" w:rsidP="00D8274C">
      <w:pPr>
        <w:pStyle w:val="ListeParagraf"/>
        <w:numPr>
          <w:ilvl w:val="0"/>
          <w:numId w:val="3"/>
        </w:numPr>
        <w:spacing w:before="60" w:after="60"/>
        <w:jc w:val="both"/>
      </w:pPr>
      <w:r>
        <w:t xml:space="preserve">Öğrenme güçlüğünün </w:t>
      </w:r>
      <w:proofErr w:type="spellStart"/>
      <w:r>
        <w:t>nörobiyolojik</w:t>
      </w:r>
      <w:proofErr w:type="spellEnd"/>
      <w:r>
        <w:t>, genetik ve çevresel nedenlerini ile erken uyarı belirtilerini sistematik biçimde açıklayabilmelerini desteklemek</w:t>
      </w:r>
    </w:p>
    <w:p w:rsidR="000D601A" w:rsidRDefault="00044E1F" w:rsidP="00D8274C">
      <w:pPr>
        <w:pStyle w:val="ListeParagraf"/>
        <w:numPr>
          <w:ilvl w:val="0"/>
          <w:numId w:val="3"/>
        </w:numPr>
        <w:spacing w:before="60" w:after="60"/>
        <w:jc w:val="both"/>
      </w:pPr>
      <w:r>
        <w:t>Okuma, yazma ve matematik alanlarındaki akademik güçlüklere yönelik kanıta dayalı müdahale yaklaşımlarını ve öğretim stratejilerini uygulamaya aktarma becerisi kazandırmak</w:t>
      </w:r>
    </w:p>
    <w:p w:rsidR="000D601A" w:rsidRDefault="00044E1F" w:rsidP="00D8274C">
      <w:pPr>
        <w:pStyle w:val="ListeParagraf"/>
        <w:numPr>
          <w:ilvl w:val="0"/>
          <w:numId w:val="3"/>
        </w:numPr>
        <w:spacing w:before="60" w:after="60"/>
        <w:jc w:val="both"/>
      </w:pPr>
      <w:r>
        <w:t>Öğrenme güçlüğüne sahip çocukların sosyal, duygusal ve davranışsal gelişimlerini yaşam dönemi perspektifinden (okul öncesi, ergenlik, genç yetişkinlik) değerlendirme yetkinliği oluşturmak</w:t>
      </w:r>
    </w:p>
    <w:p w:rsidR="000D601A" w:rsidRDefault="00044E1F" w:rsidP="00D8274C">
      <w:pPr>
        <w:pStyle w:val="ListeParagraf"/>
        <w:numPr>
          <w:ilvl w:val="0"/>
          <w:numId w:val="3"/>
        </w:numPr>
        <w:spacing w:before="60" w:after="60"/>
        <w:jc w:val="both"/>
      </w:pPr>
      <w:r>
        <w:t xml:space="preserve">Genel eğitim sınıfları ve okul öncesi ortamlarda etkin </w:t>
      </w:r>
      <w:proofErr w:type="spellStart"/>
      <w:r>
        <w:t>öğretimsel</w:t>
      </w:r>
      <w:proofErr w:type="spellEnd"/>
      <w:r>
        <w:t xml:space="preserve"> düzenlemeler ve bireyselleştirilmiş destek planları oluşturabilmelerini sağlamak</w:t>
      </w:r>
    </w:p>
    <w:p w:rsidR="000D601A" w:rsidRDefault="00044E1F" w:rsidP="00D8274C">
      <w:pPr>
        <w:pStyle w:val="ListeParagraf"/>
        <w:numPr>
          <w:ilvl w:val="0"/>
          <w:numId w:val="3"/>
        </w:numPr>
        <w:spacing w:before="60" w:after="60"/>
        <w:jc w:val="both"/>
      </w:pPr>
      <w:r>
        <w:t xml:space="preserve">Dikkat Eksikliği ve </w:t>
      </w:r>
      <w:proofErr w:type="spellStart"/>
      <w:r>
        <w:t>Hiperaktivite</w:t>
      </w:r>
      <w:proofErr w:type="spellEnd"/>
      <w:r>
        <w:t xml:space="preserve"> </w:t>
      </w:r>
      <w:proofErr w:type="spellStart"/>
      <w:r>
        <w:t>Bozukluğu'nun</w:t>
      </w:r>
      <w:proofErr w:type="spellEnd"/>
      <w:r>
        <w:t xml:space="preserve"> (DEHB) öğrenme güçlüğüyle eş tanılı durumlarını anlayarak bütüncül müdahale planlarına katkı sağlama becerisi kazandırmak</w:t>
      </w:r>
    </w:p>
    <w:p w:rsidR="000D601A" w:rsidRDefault="00044E1F" w:rsidP="00D8274C">
      <w:pPr>
        <w:pStyle w:val="ListeParagraf"/>
        <w:numPr>
          <w:ilvl w:val="0"/>
          <w:numId w:val="3"/>
        </w:numPr>
        <w:spacing w:before="60" w:after="60"/>
        <w:jc w:val="both"/>
      </w:pPr>
      <w:r>
        <w:t>Aile, öğretmen ve diğer uzmanlarla iş birliği içinde çalışma becerisini pekiştirmek</w:t>
      </w:r>
    </w:p>
    <w:p w:rsidR="000D601A" w:rsidRDefault="000D601A">
      <w:pPr>
        <w:pBdr>
          <w:bottom w:val="single" w:sz="4" w:space="1" w:color="C0430A"/>
        </w:pBdr>
        <w:spacing w:before="160" w:after="160"/>
      </w:pPr>
    </w:p>
    <w:p w:rsidR="000D601A" w:rsidRDefault="00044E1F">
      <w:pPr>
        <w:pStyle w:val="Balk1"/>
      </w:pPr>
      <w:r>
        <w:t>3. Öğrenme Çıktıları</w:t>
      </w:r>
    </w:p>
    <w:p w:rsidR="000D601A" w:rsidRDefault="00044E1F" w:rsidP="00D8274C">
      <w:pPr>
        <w:spacing w:before="80" w:after="80"/>
        <w:jc w:val="both"/>
      </w:pPr>
      <w:r>
        <w:t>Bu dersin tamamlanmasının ardından öğrencilerin aşağıdaki öğrenme çıktılarına yüksek düzeyde (4–5 katkı) ulaşması beklenmektedir. Öğrenme çıktılarının program çıktılarına katkısı genel olarak 'Yüksek – Çok Yüksek' (4–5) düzeyinde belirlenmiştir; bu durum dersin lisans programının bütününe olan stratejik katkısını göstermektedir.</w:t>
      </w:r>
    </w:p>
    <w:p w:rsidR="000D601A" w:rsidRDefault="00044E1F" w:rsidP="00D8274C">
      <w:pPr>
        <w:pStyle w:val="ListeParagraf"/>
        <w:numPr>
          <w:ilvl w:val="0"/>
          <w:numId w:val="2"/>
        </w:numPr>
        <w:spacing w:before="60" w:after="60"/>
        <w:jc w:val="both"/>
      </w:pPr>
      <w:r>
        <w:t xml:space="preserve">ÖÇ-1: Öğrenme güçlüğüne sahip çocukların genel, akademik ve </w:t>
      </w:r>
      <w:proofErr w:type="spellStart"/>
      <w:r>
        <w:t>sosyoduygusal</w:t>
      </w:r>
      <w:proofErr w:type="spellEnd"/>
      <w:r>
        <w:t xml:space="preserve"> özelliklerini çok boyutlu biçimde açıklar. (Program çıktılarına katkı: tüm çıktılarda Çok Yüksek – 5)</w:t>
      </w:r>
    </w:p>
    <w:p w:rsidR="000D601A" w:rsidRDefault="00044E1F" w:rsidP="00D8274C">
      <w:pPr>
        <w:pStyle w:val="ListeParagraf"/>
        <w:numPr>
          <w:ilvl w:val="0"/>
          <w:numId w:val="2"/>
        </w:numPr>
        <w:spacing w:before="60" w:after="60"/>
        <w:jc w:val="both"/>
      </w:pPr>
      <w:r>
        <w:t>ÖÇ-2: Öğrenme güçlüğüne sahip çocuklara yönelik akademik, sosyal, duygusal ve davranışsal yaklaşım becerilerini bilir ve uygular. (Program çıktılarına katkı: büyük çoğunlukla Çok Yüksek – 5)</w:t>
      </w:r>
    </w:p>
    <w:p w:rsidR="000D601A" w:rsidRDefault="00044E1F" w:rsidP="00D8274C">
      <w:pPr>
        <w:pStyle w:val="ListeParagraf"/>
        <w:numPr>
          <w:ilvl w:val="0"/>
          <w:numId w:val="2"/>
        </w:numPr>
        <w:spacing w:before="60" w:after="60"/>
        <w:jc w:val="both"/>
      </w:pPr>
      <w:r>
        <w:t xml:space="preserve">ÖÇ-3: Öğrenme güçlüğünde etkili öğretim yöntemlerini, okul öncesi dönemde ve genel eğitim sınıflarında sunulacak destekleri ve </w:t>
      </w:r>
      <w:proofErr w:type="spellStart"/>
      <w:r>
        <w:t>öğretimsel</w:t>
      </w:r>
      <w:proofErr w:type="spellEnd"/>
      <w:r>
        <w:t xml:space="preserve"> düzenlemeleri bilir. (Program çıktılarına katkı: büyük çoğunlukla Çok Yüksek – 5)</w:t>
      </w:r>
    </w:p>
    <w:p w:rsidR="000D601A" w:rsidRDefault="00044E1F" w:rsidP="00D8274C">
      <w:pPr>
        <w:pStyle w:val="ListeParagraf"/>
        <w:numPr>
          <w:ilvl w:val="0"/>
          <w:numId w:val="2"/>
        </w:numPr>
        <w:spacing w:before="60" w:after="60"/>
        <w:jc w:val="both"/>
      </w:pPr>
      <w:r>
        <w:t>ÖÇ-4: Öğrenme güçlüğünü tanımlar; sınıflandırma sistemlerini ve tanılama sürecini açıklar. (Program çıktılarına katkı: Düşük–Yüksek arasında değişen düzey)</w:t>
      </w:r>
    </w:p>
    <w:p w:rsidR="000D601A" w:rsidRDefault="00044E1F" w:rsidP="00D8274C">
      <w:pPr>
        <w:pStyle w:val="ListeParagraf"/>
        <w:numPr>
          <w:ilvl w:val="0"/>
          <w:numId w:val="2"/>
        </w:numPr>
        <w:spacing w:before="60" w:after="60"/>
        <w:jc w:val="both"/>
      </w:pPr>
      <w:r>
        <w:t>ÖÇ-5: Öğrenme güçlüğü olan çocuğa yaklaşım ilkelerini sıralar ve uygulama bağlamında yorumlar. (Program çıktılarına katkı: değişken katkı düzeyi – Çok Düşük ile Çok Yüksek arasında)</w:t>
      </w:r>
    </w:p>
    <w:p w:rsidR="000D601A" w:rsidRDefault="000D601A">
      <w:pPr>
        <w:pBdr>
          <w:bottom w:val="single" w:sz="4" w:space="1" w:color="C0430A"/>
        </w:pBdr>
        <w:spacing w:before="160" w:after="160"/>
      </w:pPr>
    </w:p>
    <w:p w:rsidR="000D601A" w:rsidRDefault="00044E1F">
      <w:pPr>
        <w:pStyle w:val="Balk1"/>
      </w:pPr>
      <w:r>
        <w:t>4. Uygulama Yapısı ve İş Yükü</w:t>
      </w:r>
    </w:p>
    <w:p w:rsidR="000D601A" w:rsidRDefault="00044E1F" w:rsidP="00D8274C">
      <w:pPr>
        <w:spacing w:before="80" w:after="80"/>
        <w:jc w:val="both"/>
      </w:pPr>
      <w:r>
        <w:lastRenderedPageBreak/>
        <w:t>CGB482, 14 haftalık teorik ders sürecinde haftada 2 saatlik dersler ile çok bileşenli bireysel çalışmalardan oluşan yoğun bir öğrenme ortamı sunmaktadır. Toplam öğrenci iş yükü 143 saattir; bu yük 6 AKTS kredisine karşılık gelmektedir (143 ÷ 25 = 5,72 ≈ 6 AKTS).</w:t>
      </w:r>
    </w:p>
    <w:p w:rsidR="000D601A" w:rsidRDefault="00044E1F" w:rsidP="00D8274C">
      <w:pPr>
        <w:spacing w:before="80" w:after="80"/>
        <w:jc w:val="both"/>
      </w:pPr>
      <w:r>
        <w:t xml:space="preserve">Bu ders, hemşirelik lisans programının 4. yılında sunulan yüksek yoğunluklu bir </w:t>
      </w:r>
      <w:r w:rsidR="00BF3E3E">
        <w:t>zorunlu</w:t>
      </w:r>
      <w:r>
        <w:t xml:space="preserve"> ders niteliği taşımakta olup öğrencilerden yalnızca sınıf katılımının çok ötesinde; makale kritiği, kapsamlı bireysel çalışma ve iki aşamalı sınav sürecine aktif katkı vermeleri beklenmektedir.</w:t>
      </w:r>
    </w:p>
    <w:p w:rsidR="000D601A" w:rsidRDefault="00044E1F" w:rsidP="00D8274C">
      <w:pPr>
        <w:spacing w:before="80" w:after="80"/>
        <w:jc w:val="both"/>
      </w:pPr>
      <w:r>
        <w:t>İş yükünün öne çıkan özellikleri:</w:t>
      </w:r>
    </w:p>
    <w:p w:rsidR="000D601A" w:rsidRDefault="00044E1F" w:rsidP="00D8274C">
      <w:pPr>
        <w:pStyle w:val="ListeParagraf"/>
        <w:numPr>
          <w:ilvl w:val="0"/>
          <w:numId w:val="2"/>
        </w:numPr>
        <w:spacing w:before="60" w:after="60"/>
        <w:jc w:val="both"/>
      </w:pPr>
      <w:r>
        <w:t>Bireysel çalışma ve final hazırlığı her biri 28'er saat ile toplam iş yükünün büyük bölümünü oluşturmaktadır — bu yapı dersin derinlemesine eleştirel çalışma gerektirdiğini göstermektedir</w:t>
      </w:r>
    </w:p>
    <w:p w:rsidR="000D601A" w:rsidRDefault="00044E1F" w:rsidP="00D8274C">
      <w:pPr>
        <w:pStyle w:val="ListeParagraf"/>
        <w:numPr>
          <w:ilvl w:val="0"/>
          <w:numId w:val="2"/>
        </w:numPr>
        <w:spacing w:before="60" w:after="60"/>
        <w:jc w:val="both"/>
      </w:pPr>
      <w:r>
        <w:t>Derse katılım ve soru-yanıt seansları da 28'er saat olup öğrencilerin sınıf içi etkileşime güçlü biçimde katılması beklenmektedir</w:t>
      </w:r>
    </w:p>
    <w:p w:rsidR="000D601A" w:rsidRDefault="00044E1F" w:rsidP="00D8274C">
      <w:pPr>
        <w:pStyle w:val="ListeParagraf"/>
        <w:numPr>
          <w:ilvl w:val="0"/>
          <w:numId w:val="2"/>
        </w:numPr>
        <w:spacing w:before="60" w:after="60"/>
        <w:jc w:val="both"/>
      </w:pPr>
      <w:r>
        <w:t>Makale kritiği etkinliği (6 saat) ve ödevler (8 saat) akademik yazarlık ve bilimsel okuryazarlık becerilerini doğrudan hedeflemektedir</w:t>
      </w:r>
    </w:p>
    <w:p w:rsidR="000D601A" w:rsidRDefault="00044E1F" w:rsidP="00D8274C">
      <w:pPr>
        <w:pStyle w:val="ListeParagraf"/>
        <w:numPr>
          <w:ilvl w:val="0"/>
          <w:numId w:val="2"/>
        </w:numPr>
        <w:spacing w:before="60" w:after="60"/>
        <w:jc w:val="both"/>
      </w:pPr>
      <w:r>
        <w:t xml:space="preserve">İki ayrı ara sınav ve kapsamlı bireysel hazırlık süreci, öğrenmenin dönem boyunca dağıtılmış ve </w:t>
      </w:r>
      <w:proofErr w:type="gramStart"/>
      <w:r>
        <w:t>kümülatif</w:t>
      </w:r>
      <w:proofErr w:type="gramEnd"/>
      <w:r>
        <w:t xml:space="preserve"> yapıda olduğunu yansıtmaktadır</w:t>
      </w:r>
    </w:p>
    <w:p w:rsidR="000D601A" w:rsidRDefault="000D601A">
      <w:pPr>
        <w:pBdr>
          <w:bottom w:val="single" w:sz="4" w:space="1" w:color="C0430A"/>
        </w:pBdr>
        <w:spacing w:before="160" w:after="160"/>
      </w:pPr>
    </w:p>
    <w:p w:rsidR="000D601A" w:rsidRDefault="00044E1F">
      <w:pPr>
        <w:pStyle w:val="Balk1"/>
      </w:pPr>
      <w:r>
        <w:t>5. Etkinlikler</w:t>
      </w:r>
    </w:p>
    <w:p w:rsidR="000D601A" w:rsidRDefault="00044E1F" w:rsidP="00D8274C">
      <w:pPr>
        <w:spacing w:before="80" w:after="80"/>
        <w:jc w:val="both"/>
      </w:pPr>
      <w:r>
        <w:t>AGEP kapsamında planlanmış 14 haftalık etkinlik takvimi ve konu içerikleri aşağıdaki şekilde sunulmaktadır. Dersin 4. sınıf düzeyine uygun olarak içerikler, önceki yıllarda edinilen temel psikoloji ve gelişim psikolojisi bilgileri üzerine inşa edilmekte; uygulamalı ve eleştirel yaklaşım ön plana çıkarılmaktadır.</w:t>
      </w:r>
    </w:p>
    <w:p w:rsidR="000D601A" w:rsidRDefault="000D601A">
      <w:pPr>
        <w:spacing w:before="120"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3000"/>
        <w:gridCol w:w="5360"/>
      </w:tblGrid>
      <w:tr w:rsidR="000D601A">
        <w:tc>
          <w:tcPr>
            <w:tcW w:w="1000" w:type="dxa"/>
            <w:tcBorders>
              <w:top w:val="single" w:sz="1" w:space="0" w:color="CCCCCC"/>
              <w:left w:val="single" w:sz="1" w:space="0" w:color="CCCCCC"/>
              <w:bottom w:val="single" w:sz="1" w:space="0" w:color="CCCCCC"/>
              <w:right w:val="single" w:sz="1" w:space="0" w:color="CCCCCC"/>
            </w:tcBorders>
            <w:shd w:val="clear" w:color="auto" w:fill="8B2500"/>
            <w:tcMar>
              <w:top w:w="80" w:type="dxa"/>
              <w:left w:w="120" w:type="dxa"/>
              <w:bottom w:w="80" w:type="dxa"/>
              <w:right w:w="120" w:type="dxa"/>
            </w:tcMar>
          </w:tcPr>
          <w:p w:rsidR="000D601A" w:rsidRDefault="00044E1F">
            <w:r>
              <w:rPr>
                <w:b/>
                <w:bCs/>
                <w:color w:val="FFFFFF"/>
                <w:sz w:val="20"/>
                <w:szCs w:val="20"/>
              </w:rPr>
              <w:t>Hafta</w:t>
            </w:r>
          </w:p>
        </w:tc>
        <w:tc>
          <w:tcPr>
            <w:tcW w:w="3000" w:type="dxa"/>
            <w:tcBorders>
              <w:top w:val="single" w:sz="1" w:space="0" w:color="CCCCCC"/>
              <w:left w:val="single" w:sz="1" w:space="0" w:color="CCCCCC"/>
              <w:bottom w:val="single" w:sz="1" w:space="0" w:color="CCCCCC"/>
              <w:right w:val="single" w:sz="1" w:space="0" w:color="CCCCCC"/>
            </w:tcBorders>
            <w:shd w:val="clear" w:color="auto" w:fill="8B2500"/>
            <w:tcMar>
              <w:top w:w="80" w:type="dxa"/>
              <w:left w:w="120" w:type="dxa"/>
              <w:bottom w:w="80" w:type="dxa"/>
              <w:right w:w="120" w:type="dxa"/>
            </w:tcMar>
          </w:tcPr>
          <w:p w:rsidR="000D601A" w:rsidRDefault="00044E1F">
            <w:r>
              <w:rPr>
                <w:b/>
                <w:bCs/>
                <w:color w:val="FFFFFF"/>
                <w:sz w:val="20"/>
                <w:szCs w:val="20"/>
              </w:rPr>
              <w:t>Konu Başlığı</w:t>
            </w:r>
          </w:p>
        </w:tc>
        <w:tc>
          <w:tcPr>
            <w:tcW w:w="5360" w:type="dxa"/>
            <w:tcBorders>
              <w:top w:val="single" w:sz="1" w:space="0" w:color="CCCCCC"/>
              <w:left w:val="single" w:sz="1" w:space="0" w:color="CCCCCC"/>
              <w:bottom w:val="single" w:sz="1" w:space="0" w:color="CCCCCC"/>
              <w:right w:val="single" w:sz="1" w:space="0" w:color="CCCCCC"/>
            </w:tcBorders>
            <w:shd w:val="clear" w:color="auto" w:fill="8B2500"/>
            <w:tcMar>
              <w:top w:w="80" w:type="dxa"/>
              <w:left w:w="120" w:type="dxa"/>
              <w:bottom w:w="80" w:type="dxa"/>
              <w:right w:w="120" w:type="dxa"/>
            </w:tcMar>
          </w:tcPr>
          <w:p w:rsidR="000D601A" w:rsidRDefault="00044E1F">
            <w:r>
              <w:rPr>
                <w:b/>
                <w:bCs/>
                <w:color w:val="FFFFFF"/>
                <w:sz w:val="20"/>
                <w:szCs w:val="20"/>
              </w:rPr>
              <w:t>Etkinlik İçeriği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vAlign w:val="center"/>
          </w:tcPr>
          <w:p w:rsidR="000D601A" w:rsidRDefault="00044E1F">
            <w:pPr>
              <w:jc w:val="center"/>
            </w:pPr>
            <w:r>
              <w:rPr>
                <w:b/>
                <w:bCs/>
                <w:sz w:val="20"/>
                <w:szCs w:val="20"/>
              </w:rPr>
              <w:t>1</w:t>
            </w:r>
          </w:p>
        </w:tc>
        <w:tc>
          <w:tcPr>
            <w:tcW w:w="3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Öğrenme Güçlüğünün Tanımı ve Sınıflandırılması</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Öğrenme güçlüğünün tanımı, tanılama ölçütleri, belirtileri, sınıflandırılması ve yaygınlığı; temel kavramların çerçevelenmesi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0D601A" w:rsidRDefault="00044E1F">
            <w:pPr>
              <w:jc w:val="center"/>
            </w:pPr>
            <w:r>
              <w:rPr>
                <w:b/>
                <w:bCs/>
                <w:sz w:val="20"/>
                <w:szCs w:val="20"/>
              </w:rPr>
              <w:t>2</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D601A" w:rsidRDefault="00044E1F">
            <w:r>
              <w:rPr>
                <w:b/>
                <w:bCs/>
                <w:sz w:val="20"/>
                <w:szCs w:val="20"/>
              </w:rPr>
              <w:t>Öğrenme Güçlüğünün Nedenleri ve Erken Belirtileri</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Öğrenme güçlüğünün nörolojik, genetik ve çevresel nedenleri; erken belirtilerin tanınması ve genel özellikler</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vAlign w:val="center"/>
          </w:tcPr>
          <w:p w:rsidR="000D601A" w:rsidRDefault="00044E1F">
            <w:pPr>
              <w:jc w:val="center"/>
            </w:pPr>
            <w:r>
              <w:rPr>
                <w:b/>
                <w:bCs/>
                <w:sz w:val="20"/>
                <w:szCs w:val="20"/>
              </w:rPr>
              <w:t>3</w:t>
            </w:r>
          </w:p>
        </w:tc>
        <w:tc>
          <w:tcPr>
            <w:tcW w:w="3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Öğrenme Güçlüğüne Sahip Çocukların Özellikleri ve Tanılanması</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Genel özellikler, akademik özellikler; çok disiplinli tanılama süreci ve değerlendirme araçları</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0D601A" w:rsidRDefault="00044E1F">
            <w:pPr>
              <w:jc w:val="center"/>
            </w:pPr>
            <w:r>
              <w:rPr>
                <w:b/>
                <w:bCs/>
                <w:sz w:val="20"/>
                <w:szCs w:val="20"/>
              </w:rPr>
              <w:t>4</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D601A" w:rsidRDefault="00044E1F">
            <w:r>
              <w:rPr>
                <w:b/>
                <w:bCs/>
                <w:sz w:val="20"/>
                <w:szCs w:val="20"/>
              </w:rPr>
              <w:t>Akademik Yaklaşım – I (Okuma ve Yazma)</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Okuma güçlüklerinin (</w:t>
            </w:r>
            <w:proofErr w:type="spellStart"/>
            <w:r>
              <w:rPr>
                <w:sz w:val="20"/>
                <w:szCs w:val="20"/>
              </w:rPr>
              <w:t>disleksi</w:t>
            </w:r>
            <w:proofErr w:type="spellEnd"/>
            <w:r>
              <w:rPr>
                <w:sz w:val="20"/>
                <w:szCs w:val="20"/>
              </w:rPr>
              <w:t>) özellikleri ve kanıta dayalı okuma müdahale stratejileri; yazma güçlükleri ve yazılı anlatım desteği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vAlign w:val="center"/>
          </w:tcPr>
          <w:p w:rsidR="000D601A" w:rsidRDefault="00044E1F">
            <w:pPr>
              <w:jc w:val="center"/>
            </w:pPr>
            <w:r>
              <w:rPr>
                <w:b/>
                <w:bCs/>
                <w:sz w:val="20"/>
                <w:szCs w:val="20"/>
              </w:rPr>
              <w:t>5</w:t>
            </w:r>
          </w:p>
        </w:tc>
        <w:tc>
          <w:tcPr>
            <w:tcW w:w="3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Akademik Yaklaşım – II (Okuma, Yazma ve Matematik)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Okuma ve yazma yaklaşımlarının derinleştirilmesi; matematik güçlükleri (</w:t>
            </w:r>
            <w:proofErr w:type="spellStart"/>
            <w:r>
              <w:rPr>
                <w:sz w:val="20"/>
                <w:szCs w:val="20"/>
              </w:rPr>
              <w:t>diskalkuli</w:t>
            </w:r>
            <w:proofErr w:type="spellEnd"/>
            <w:r>
              <w:rPr>
                <w:sz w:val="20"/>
                <w:szCs w:val="20"/>
              </w:rPr>
              <w:t>) ve sayısal beceri destekleri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0D601A" w:rsidRDefault="00044E1F">
            <w:pPr>
              <w:jc w:val="center"/>
            </w:pPr>
            <w:r>
              <w:rPr>
                <w:b/>
                <w:bCs/>
                <w:sz w:val="20"/>
                <w:szCs w:val="20"/>
              </w:rPr>
              <w:t>6</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D601A" w:rsidRDefault="00044E1F">
            <w:r>
              <w:rPr>
                <w:b/>
                <w:bCs/>
                <w:sz w:val="20"/>
                <w:szCs w:val="20"/>
              </w:rPr>
              <w:t>Akademik Yaklaşım – III (Matematik ve Bütünleşik Akademik Destek)</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Matematik güçlüklerinde ileri müdahale teknikleri; okuma-yazma-matematik becerilerini bütünleştiren öğretim modellerinin incelenmesi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vAlign w:val="center"/>
          </w:tcPr>
          <w:p w:rsidR="000D601A" w:rsidRDefault="00044E1F">
            <w:pPr>
              <w:jc w:val="center"/>
            </w:pPr>
            <w:r>
              <w:rPr>
                <w:b/>
                <w:bCs/>
                <w:sz w:val="20"/>
                <w:szCs w:val="20"/>
              </w:rPr>
              <w:t>7</w:t>
            </w:r>
          </w:p>
        </w:tc>
        <w:tc>
          <w:tcPr>
            <w:tcW w:w="3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Sosyal, Duygusal ve Davranışsal Yaklaşım – I</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 xml:space="preserve">Öğrenme güçlüğüne sahip çocukların sosyal ve duygusal gelişim özellikleri; okul öncesi dönemde </w:t>
            </w:r>
            <w:proofErr w:type="spellStart"/>
            <w:r>
              <w:rPr>
                <w:sz w:val="20"/>
                <w:szCs w:val="20"/>
              </w:rPr>
              <w:t>sosyoduygusal</w:t>
            </w:r>
            <w:proofErr w:type="spellEnd"/>
            <w:r>
              <w:rPr>
                <w:sz w:val="20"/>
                <w:szCs w:val="20"/>
              </w:rPr>
              <w:t xml:space="preserve"> gelişim ve destek</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0D601A" w:rsidRDefault="00044E1F">
            <w:pPr>
              <w:jc w:val="center"/>
            </w:pPr>
            <w:r>
              <w:rPr>
                <w:b/>
                <w:bCs/>
                <w:sz w:val="20"/>
                <w:szCs w:val="20"/>
              </w:rPr>
              <w:t>8</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D601A" w:rsidRDefault="00044E1F">
            <w:r>
              <w:rPr>
                <w:b/>
                <w:bCs/>
                <w:sz w:val="20"/>
                <w:szCs w:val="20"/>
              </w:rPr>
              <w:t xml:space="preserve">Sosyal, Duygusal ve </w:t>
            </w:r>
            <w:r>
              <w:rPr>
                <w:b/>
                <w:bCs/>
                <w:sz w:val="20"/>
                <w:szCs w:val="20"/>
              </w:rPr>
              <w:lastRenderedPageBreak/>
              <w:t>Davranışsal Yaklaşım – II</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lastRenderedPageBreak/>
              <w:t xml:space="preserve">Sosyal ve duygusal yaklaşımların pekiştirilmesi; ergenlik </w:t>
            </w:r>
            <w:r>
              <w:rPr>
                <w:sz w:val="20"/>
                <w:szCs w:val="20"/>
              </w:rPr>
              <w:lastRenderedPageBreak/>
              <w:t xml:space="preserve">döneminde </w:t>
            </w:r>
            <w:proofErr w:type="spellStart"/>
            <w:r>
              <w:rPr>
                <w:sz w:val="20"/>
                <w:szCs w:val="20"/>
              </w:rPr>
              <w:t>sosyoduygusal</w:t>
            </w:r>
            <w:proofErr w:type="spellEnd"/>
            <w:r>
              <w:rPr>
                <w:sz w:val="20"/>
                <w:szCs w:val="20"/>
              </w:rPr>
              <w:t xml:space="preserve"> gelişim ve özgüven desteği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vAlign w:val="center"/>
          </w:tcPr>
          <w:p w:rsidR="000D601A" w:rsidRDefault="00044E1F">
            <w:pPr>
              <w:jc w:val="center"/>
            </w:pPr>
            <w:r>
              <w:rPr>
                <w:b/>
                <w:bCs/>
                <w:sz w:val="20"/>
                <w:szCs w:val="20"/>
              </w:rPr>
              <w:lastRenderedPageBreak/>
              <w:t>9</w:t>
            </w:r>
          </w:p>
        </w:tc>
        <w:tc>
          <w:tcPr>
            <w:tcW w:w="3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Sosyal, Duygusal ve Davranışsal Yaklaşım – III</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 xml:space="preserve">Genç yetişkinlik döneminde </w:t>
            </w:r>
            <w:proofErr w:type="spellStart"/>
            <w:r>
              <w:rPr>
                <w:sz w:val="20"/>
                <w:szCs w:val="20"/>
              </w:rPr>
              <w:t>sosyoduygusal</w:t>
            </w:r>
            <w:proofErr w:type="spellEnd"/>
            <w:r>
              <w:rPr>
                <w:sz w:val="20"/>
                <w:szCs w:val="20"/>
              </w:rPr>
              <w:t xml:space="preserve"> gelişim; davranışsal müdahale stratejileri ve olumlu davranış desteği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0D601A" w:rsidRDefault="00044E1F">
            <w:pPr>
              <w:jc w:val="center"/>
            </w:pPr>
            <w:r>
              <w:rPr>
                <w:b/>
                <w:bCs/>
                <w:sz w:val="20"/>
                <w:szCs w:val="20"/>
              </w:rPr>
              <w:t>10</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D601A" w:rsidRDefault="00044E1F">
            <w:r>
              <w:rPr>
                <w:b/>
                <w:bCs/>
                <w:sz w:val="20"/>
                <w:szCs w:val="20"/>
              </w:rPr>
              <w:t>Sosyal, Duygusal ve Davranışsal Yaklaşım – IV</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Sosyal beceri eğitimi, akran ilişkileri ve sosyal dışlanmayla başa çıkma; aile ve öğretmenle iş birliği modelleri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vAlign w:val="center"/>
          </w:tcPr>
          <w:p w:rsidR="000D601A" w:rsidRDefault="00044E1F">
            <w:pPr>
              <w:jc w:val="center"/>
            </w:pPr>
            <w:r>
              <w:rPr>
                <w:b/>
                <w:bCs/>
                <w:sz w:val="20"/>
                <w:szCs w:val="20"/>
              </w:rPr>
              <w:t>11</w:t>
            </w:r>
          </w:p>
        </w:tc>
        <w:tc>
          <w:tcPr>
            <w:tcW w:w="3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Etkili Öğretim Yöntemleri ve Okul Öncesi Destekler</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Öğrenme güçlüğünde kanıta dayalı öğretim yöntemleri; okul öncesi dönemde erken müdahale ve öğrenme ortamı düzenlemeleri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0D601A" w:rsidRDefault="00044E1F">
            <w:pPr>
              <w:jc w:val="center"/>
            </w:pPr>
            <w:r>
              <w:rPr>
                <w:b/>
                <w:bCs/>
                <w:sz w:val="20"/>
                <w:szCs w:val="20"/>
              </w:rPr>
              <w:t>12</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D601A" w:rsidRDefault="00044E1F">
            <w:r>
              <w:rPr>
                <w:b/>
                <w:bCs/>
                <w:sz w:val="20"/>
                <w:szCs w:val="20"/>
              </w:rPr>
              <w:t xml:space="preserve">Genel Eğitim Sınıflarında </w:t>
            </w:r>
            <w:proofErr w:type="spellStart"/>
            <w:r>
              <w:rPr>
                <w:b/>
                <w:bCs/>
                <w:sz w:val="20"/>
                <w:szCs w:val="20"/>
              </w:rPr>
              <w:t>Öğretimsel</w:t>
            </w:r>
            <w:proofErr w:type="spellEnd"/>
            <w:r>
              <w:rPr>
                <w:b/>
                <w:bCs/>
                <w:sz w:val="20"/>
                <w:szCs w:val="20"/>
              </w:rPr>
              <w:t xml:space="preserve"> Düzenlemeler</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r>
              <w:rPr>
                <w:sz w:val="20"/>
                <w:szCs w:val="20"/>
              </w:rPr>
              <w:t xml:space="preserve">Kaynaştırma eğitimi ilkeleri; genel eğitim sınıflarında bireyselleştirilmiş </w:t>
            </w:r>
            <w:proofErr w:type="spellStart"/>
            <w:r>
              <w:rPr>
                <w:sz w:val="20"/>
                <w:szCs w:val="20"/>
              </w:rPr>
              <w:t>öğretimsel</w:t>
            </w:r>
            <w:proofErr w:type="spellEnd"/>
            <w:r>
              <w:rPr>
                <w:sz w:val="20"/>
                <w:szCs w:val="20"/>
              </w:rPr>
              <w:t xml:space="preserve"> düzenlemeler ve uyarlamalar</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vAlign w:val="center"/>
          </w:tcPr>
          <w:p w:rsidR="000D601A" w:rsidRDefault="00044E1F">
            <w:pPr>
              <w:jc w:val="center"/>
            </w:pPr>
            <w:r>
              <w:rPr>
                <w:b/>
                <w:bCs/>
                <w:sz w:val="20"/>
                <w:szCs w:val="20"/>
              </w:rPr>
              <w:t>13</w:t>
            </w:r>
          </w:p>
        </w:tc>
        <w:tc>
          <w:tcPr>
            <w:tcW w:w="3000" w:type="dxa"/>
            <w:tcBorders>
              <w:top w:val="single" w:sz="1" w:space="0" w:color="CCCCCC"/>
              <w:left w:val="single" w:sz="1" w:space="0" w:color="CCCCCC"/>
              <w:bottom w:val="single" w:sz="1" w:space="0" w:color="CCCCCC"/>
              <w:right w:val="single" w:sz="1" w:space="0" w:color="CCCCCC"/>
            </w:tcBorders>
            <w:shd w:val="clear" w:color="auto" w:fill="FDF0EB"/>
            <w:tcMar>
              <w:top w:w="80" w:type="dxa"/>
              <w:left w:w="120" w:type="dxa"/>
              <w:bottom w:w="80" w:type="dxa"/>
              <w:right w:w="120" w:type="dxa"/>
            </w:tcMar>
          </w:tcPr>
          <w:p w:rsidR="000D601A" w:rsidRDefault="00044E1F">
            <w:r>
              <w:rPr>
                <w:b/>
                <w:bCs/>
                <w:sz w:val="20"/>
                <w:szCs w:val="20"/>
              </w:rPr>
              <w:t xml:space="preserve">Dikkat Eksikliği ve </w:t>
            </w:r>
            <w:proofErr w:type="spellStart"/>
            <w:r>
              <w:rPr>
                <w:b/>
                <w:bCs/>
                <w:sz w:val="20"/>
                <w:szCs w:val="20"/>
              </w:rPr>
              <w:t>Hiperaktivite</w:t>
            </w:r>
            <w:proofErr w:type="spellEnd"/>
            <w:r>
              <w:rPr>
                <w:b/>
                <w:bCs/>
                <w:sz w:val="20"/>
                <w:szCs w:val="20"/>
              </w:rPr>
              <w:t xml:space="preserve"> Bozukluğu – I</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proofErr w:type="spellStart"/>
            <w:r>
              <w:rPr>
                <w:sz w:val="20"/>
                <w:szCs w:val="20"/>
              </w:rPr>
              <w:t>DEHB'nin</w:t>
            </w:r>
            <w:proofErr w:type="spellEnd"/>
            <w:r>
              <w:rPr>
                <w:sz w:val="20"/>
                <w:szCs w:val="20"/>
              </w:rPr>
              <w:t xml:space="preserve"> tanımı, tanı ölçütleri, </w:t>
            </w:r>
            <w:proofErr w:type="spellStart"/>
            <w:r>
              <w:rPr>
                <w:sz w:val="20"/>
                <w:szCs w:val="20"/>
              </w:rPr>
              <w:t>nörobiyolojik</w:t>
            </w:r>
            <w:proofErr w:type="spellEnd"/>
            <w:r>
              <w:rPr>
                <w:sz w:val="20"/>
                <w:szCs w:val="20"/>
              </w:rPr>
              <w:t xml:space="preserve"> temelleri; öğrenme güçlüğüyle eş tanı durumlarının değerlendirilmesi</w:t>
            </w:r>
          </w:p>
        </w:tc>
      </w:tr>
      <w:tr w:rsidR="000D601A">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0D601A" w:rsidRDefault="00044E1F">
            <w:pPr>
              <w:jc w:val="center"/>
            </w:pPr>
            <w:r>
              <w:rPr>
                <w:b/>
                <w:bCs/>
                <w:sz w:val="20"/>
                <w:szCs w:val="20"/>
              </w:rPr>
              <w:t>14</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0D601A" w:rsidRDefault="00044E1F">
            <w:r>
              <w:rPr>
                <w:b/>
                <w:bCs/>
                <w:sz w:val="20"/>
                <w:szCs w:val="20"/>
              </w:rPr>
              <w:t xml:space="preserve">Dikkat Eksikliği ve </w:t>
            </w:r>
            <w:proofErr w:type="spellStart"/>
            <w:r>
              <w:rPr>
                <w:b/>
                <w:bCs/>
                <w:sz w:val="20"/>
                <w:szCs w:val="20"/>
              </w:rPr>
              <w:t>Hiperaktivite</w:t>
            </w:r>
            <w:proofErr w:type="spellEnd"/>
            <w:r>
              <w:rPr>
                <w:b/>
                <w:bCs/>
                <w:sz w:val="20"/>
                <w:szCs w:val="20"/>
              </w:rPr>
              <w:t xml:space="preserve"> Bozukluğu – II</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0D601A" w:rsidRDefault="00044E1F">
            <w:proofErr w:type="spellStart"/>
            <w:r>
              <w:rPr>
                <w:sz w:val="20"/>
                <w:szCs w:val="20"/>
              </w:rPr>
              <w:t>DEHB'de</w:t>
            </w:r>
            <w:proofErr w:type="spellEnd"/>
            <w:r>
              <w:rPr>
                <w:sz w:val="20"/>
                <w:szCs w:val="20"/>
              </w:rPr>
              <w:t xml:space="preserve"> eğitimsel müdahaleler, sınıf yönetimi stratejileri, ilaç dışı destek yöntemleri ve aile rehberliği</w:t>
            </w:r>
          </w:p>
        </w:tc>
      </w:tr>
    </w:tbl>
    <w:p w:rsidR="000D601A" w:rsidRDefault="000D601A">
      <w:pPr>
        <w:spacing w:before="100" w:after="80"/>
      </w:pPr>
    </w:p>
    <w:p w:rsidR="000D601A" w:rsidRDefault="00044E1F" w:rsidP="00D8274C">
      <w:pPr>
        <w:spacing w:before="80" w:after="80"/>
        <w:jc w:val="both"/>
      </w:pPr>
      <w:r>
        <w:t>Not: Tüm haftalarda soru-yanıt, bireysel çalışma ve tartışma etkinlikleri teorik derse eşlik etmektedir. Makale kritiği etkinlikleri (3 adet) dönem içinde öğretim üyesiyle planlı zamanlarda gerçekleştirilecektir.</w:t>
      </w:r>
    </w:p>
    <w:p w:rsidR="000D601A" w:rsidRDefault="000D601A">
      <w:pPr>
        <w:pBdr>
          <w:bottom w:val="single" w:sz="4" w:space="1" w:color="C0430A"/>
        </w:pBdr>
        <w:spacing w:before="160" w:after="160"/>
      </w:pPr>
    </w:p>
    <w:p w:rsidR="000D601A" w:rsidRDefault="00044E1F">
      <w:pPr>
        <w:pStyle w:val="Balk1"/>
      </w:pPr>
      <w:r>
        <w:t>6. Değerlendirme</w:t>
      </w:r>
    </w:p>
    <w:p w:rsidR="000D601A" w:rsidRDefault="00044E1F" w:rsidP="00D8274C">
      <w:pPr>
        <w:spacing w:before="80" w:after="80"/>
        <w:jc w:val="both"/>
      </w:pPr>
      <w:r>
        <w:t>Öğrencilerin başarısı dönem içi (iki ara sınav) ve dönem sonu (final) etkinliklerin ağırlıklı ortalaması ile belirlenmektedir. Bu ders, tek ara sınav yerine iki ayrı ara sınav uygulamasıyla öğrenmenin süreç içinde izlenmesini ön planda tutan bir değerlendirme anlayışını benimsemektedir.</w:t>
      </w:r>
    </w:p>
    <w:p w:rsidR="000D601A" w:rsidRDefault="00044E1F" w:rsidP="00D8274C">
      <w:pPr>
        <w:spacing w:before="80" w:after="80"/>
        <w:jc w:val="both"/>
      </w:pPr>
      <w:r>
        <w:t>Değerlendirme sürecine ilişkin önemli notlar:</w:t>
      </w:r>
    </w:p>
    <w:p w:rsidR="000D601A" w:rsidRDefault="00044E1F" w:rsidP="00D8274C">
      <w:pPr>
        <w:pStyle w:val="ListeParagraf"/>
        <w:numPr>
          <w:ilvl w:val="0"/>
          <w:numId w:val="2"/>
        </w:numPr>
        <w:spacing w:before="60" w:after="60"/>
        <w:jc w:val="both"/>
      </w:pPr>
      <w:r>
        <w:t>İki ayrı ara sınav yapısı, öğrencilerin dönem boyunca sürekli öğrenme sorumluluğu üstlenmelerini teşvik etmekte ve bilginin dağıtılmış pratikle pekiştirilmesini sağlamaktadır</w:t>
      </w:r>
    </w:p>
    <w:p w:rsidR="000D601A" w:rsidRDefault="00044E1F" w:rsidP="00D8274C">
      <w:pPr>
        <w:pStyle w:val="ListeParagraf"/>
        <w:numPr>
          <w:ilvl w:val="0"/>
          <w:numId w:val="2"/>
        </w:numPr>
        <w:spacing w:before="60" w:after="60"/>
        <w:jc w:val="both"/>
      </w:pPr>
      <w:r>
        <w:t>Ödev (2 adet) ve makale kritiği etkinlikleri (3 adet) akademik gelişimin ayrılmaz parçası olmakla birlikte bu dönem için ayrı bir not kalemi olarak değil, öğrenme sürecini destekleyen zorunlu etkinlikler olarak tasarlanmıştır</w:t>
      </w:r>
    </w:p>
    <w:p w:rsidR="000D601A" w:rsidRDefault="00044E1F" w:rsidP="00D8274C">
      <w:pPr>
        <w:pStyle w:val="ListeParagraf"/>
        <w:numPr>
          <w:ilvl w:val="0"/>
          <w:numId w:val="2"/>
        </w:numPr>
        <w:spacing w:before="60" w:after="60"/>
        <w:jc w:val="both"/>
      </w:pPr>
      <w:r>
        <w:t>Tüm değerlendirme süreçlerinde akademik dürüstlük, bilimsel kaynak kullanımı ve mesleki etik ilkelere uyum temel ölçüt olarak gözetilmektedir</w:t>
      </w:r>
    </w:p>
    <w:p w:rsidR="000D601A" w:rsidRDefault="00044E1F" w:rsidP="00D8274C">
      <w:pPr>
        <w:pStyle w:val="ListeParagraf"/>
        <w:numPr>
          <w:ilvl w:val="0"/>
          <w:numId w:val="2"/>
        </w:numPr>
        <w:spacing w:before="60" w:after="60"/>
        <w:jc w:val="both"/>
      </w:pPr>
      <w:r>
        <w:t>4. sınıf düzeyine uygun olarak değerlendirme soruları; yalnızca bilgi hatırlama düzeyini değil, analiz, sentez ve uygulama düzeyindeki kazanımları da hedefleyecek biçimde kurgulanmaktadır</w:t>
      </w:r>
    </w:p>
    <w:p w:rsidR="000D601A" w:rsidRDefault="000D601A">
      <w:pPr>
        <w:pBdr>
          <w:bottom w:val="single" w:sz="4" w:space="1" w:color="C0430A"/>
        </w:pBdr>
        <w:spacing w:before="160" w:after="160"/>
      </w:pPr>
    </w:p>
    <w:p w:rsidR="000D601A" w:rsidRDefault="00044E1F">
      <w:pPr>
        <w:pStyle w:val="Balk1"/>
      </w:pPr>
      <w:r>
        <w:t>7. Uygulama Süreci</w:t>
      </w:r>
    </w:p>
    <w:p w:rsidR="00D8274C" w:rsidRPr="00D8274C" w:rsidRDefault="00D8274C" w:rsidP="00D8274C">
      <w:pPr>
        <w:numPr>
          <w:ilvl w:val="0"/>
          <w:numId w:val="4"/>
        </w:numPr>
        <w:spacing w:before="80" w:after="80" w:line="360" w:lineRule="auto"/>
        <w:jc w:val="both"/>
      </w:pPr>
      <w:bookmarkStart w:id="0" w:name="_GoBack"/>
      <w:r w:rsidRPr="00D8274C">
        <w:t xml:space="preserve">AGEP Uygulama Planı, 2026–2027 akademik yılı güz döneminde 14 haftalık takvim çerçevesinde hayata geçirilecektir. </w:t>
      </w:r>
      <w:r w:rsidRPr="00D8274C">
        <w:rPr>
          <w:rFonts w:eastAsia="Times New Roman"/>
        </w:rPr>
        <w:t xml:space="preserve">AGEP içeriği ve beklentiler öğrencilere dönem </w:t>
      </w:r>
      <w:r w:rsidRPr="00D8274C">
        <w:rPr>
          <w:rFonts w:eastAsia="Times New Roman"/>
        </w:rPr>
        <w:lastRenderedPageBreak/>
        <w:t xml:space="preserve">öncesinde duyurulur. Öğrenciler </w:t>
      </w:r>
      <w:proofErr w:type="spellStart"/>
      <w:r w:rsidRPr="00D8274C">
        <w:rPr>
          <w:rFonts w:eastAsia="Times New Roman"/>
        </w:rPr>
        <w:t>AGEP’in</w:t>
      </w:r>
      <w:proofErr w:type="spellEnd"/>
      <w:r w:rsidRPr="00D8274C">
        <w:rPr>
          <w:rFonts w:eastAsia="Times New Roman"/>
        </w:rPr>
        <w:t xml:space="preserve"> tüm aşamalarını ilgili </w:t>
      </w:r>
      <w:r w:rsidRPr="00D8274C">
        <w:t>yarıyılın en geç yedinci haftası sonuna kadar tamamlar</w:t>
      </w:r>
    </w:p>
    <w:bookmarkEnd w:id="0"/>
    <w:p w:rsidR="000D601A" w:rsidRDefault="000D601A">
      <w:pPr>
        <w:pBdr>
          <w:bottom w:val="single" w:sz="4" w:space="1" w:color="C0430A"/>
        </w:pBdr>
        <w:spacing w:before="160" w:after="160"/>
      </w:pPr>
    </w:p>
    <w:p w:rsidR="000D601A" w:rsidRDefault="00044E1F">
      <w:pPr>
        <w:pStyle w:val="Balk1"/>
      </w:pPr>
      <w:r>
        <w:t>8. Beklenen Kazanımlar</w:t>
      </w:r>
    </w:p>
    <w:p w:rsidR="000D601A" w:rsidRDefault="00044E1F" w:rsidP="00D8274C">
      <w:pPr>
        <w:spacing w:before="80" w:after="80"/>
        <w:jc w:val="both"/>
      </w:pPr>
      <w:r>
        <w:t>Lisans programının son yılına ait bu dersin başarıyla tamamlanması durumunda öğrencilerin aşağıdaki kapsamlı kazanımlara ulaşmaları beklenmektedir:</w:t>
      </w:r>
    </w:p>
    <w:p w:rsidR="000D601A" w:rsidRDefault="00044E1F" w:rsidP="00D8274C">
      <w:pPr>
        <w:pStyle w:val="Balk2"/>
        <w:jc w:val="both"/>
      </w:pPr>
      <w:r>
        <w:t>8.1 Akademik ve Bilimsel Kazanımlar</w:t>
      </w:r>
    </w:p>
    <w:p w:rsidR="000D601A" w:rsidRDefault="00044E1F" w:rsidP="00D8274C">
      <w:pPr>
        <w:pStyle w:val="ListeParagraf"/>
        <w:numPr>
          <w:ilvl w:val="0"/>
          <w:numId w:val="2"/>
        </w:numPr>
        <w:spacing w:before="60" w:after="60"/>
        <w:jc w:val="both"/>
      </w:pPr>
      <w:r>
        <w:t xml:space="preserve">Öğrenme güçlüğünü ve </w:t>
      </w:r>
      <w:proofErr w:type="spellStart"/>
      <w:r>
        <w:t>DEHB'yi</w:t>
      </w:r>
      <w:proofErr w:type="spellEnd"/>
      <w:r>
        <w:t xml:space="preserve"> </w:t>
      </w:r>
      <w:proofErr w:type="spellStart"/>
      <w:r>
        <w:t>nörobiyolojik</w:t>
      </w:r>
      <w:proofErr w:type="spellEnd"/>
      <w:r>
        <w:t>, psikolojik ve eğitimsel boyutlarıyla bütüncül biçimde kavrayan ileri düzey bir bilgi altyapısı edinme</w:t>
      </w:r>
    </w:p>
    <w:p w:rsidR="000D601A" w:rsidRDefault="00044E1F" w:rsidP="00D8274C">
      <w:pPr>
        <w:pStyle w:val="ListeParagraf"/>
        <w:numPr>
          <w:ilvl w:val="0"/>
          <w:numId w:val="2"/>
        </w:numPr>
        <w:spacing w:before="60" w:after="60"/>
        <w:jc w:val="both"/>
      </w:pPr>
      <w:r>
        <w:t>Makale kritiği etkinlikleri aracılığıyla güncel araştırmaları eleştirel biçimde okuma, değerlendirme ve mesleki pratiğe aktarma becerisi geliştirme</w:t>
      </w:r>
    </w:p>
    <w:p w:rsidR="000D601A" w:rsidRDefault="00044E1F" w:rsidP="00D8274C">
      <w:pPr>
        <w:pStyle w:val="ListeParagraf"/>
        <w:numPr>
          <w:ilvl w:val="0"/>
          <w:numId w:val="2"/>
        </w:numPr>
        <w:spacing w:before="60" w:after="60"/>
        <w:jc w:val="both"/>
      </w:pPr>
      <w:r>
        <w:t>Kanıta dayalı uygulama (</w:t>
      </w:r>
      <w:proofErr w:type="spellStart"/>
      <w:r>
        <w:t>evidence-based</w:t>
      </w:r>
      <w:proofErr w:type="spellEnd"/>
      <w:r>
        <w:t xml:space="preserve"> </w:t>
      </w:r>
      <w:proofErr w:type="spellStart"/>
      <w:r>
        <w:t>practice</w:t>
      </w:r>
      <w:proofErr w:type="spellEnd"/>
      <w:r>
        <w:t>) anlayışını benimseyerek bilimsel kaynakları seçici ve etkin biçimde kullanabilme</w:t>
      </w:r>
    </w:p>
    <w:p w:rsidR="000D601A" w:rsidRDefault="00044E1F" w:rsidP="00D8274C">
      <w:pPr>
        <w:pStyle w:val="ListeParagraf"/>
        <w:numPr>
          <w:ilvl w:val="0"/>
          <w:numId w:val="2"/>
        </w:numPr>
        <w:spacing w:before="60" w:after="60"/>
        <w:jc w:val="both"/>
      </w:pPr>
      <w:r>
        <w:t>İki aşamalı ara sınav sistemi sayesinde dönem boyunca sürekli öğrenme sorumluluğu ve akademik disiplin alışkanlığı kazanma</w:t>
      </w:r>
    </w:p>
    <w:p w:rsidR="000D601A" w:rsidRDefault="00044E1F" w:rsidP="00D8274C">
      <w:pPr>
        <w:pStyle w:val="Balk2"/>
        <w:jc w:val="both"/>
      </w:pPr>
      <w:r>
        <w:t>8.2 Klinik ve Mesleki Kazanımlar</w:t>
      </w:r>
    </w:p>
    <w:p w:rsidR="000D601A" w:rsidRDefault="00044E1F" w:rsidP="00D8274C">
      <w:pPr>
        <w:pStyle w:val="ListeParagraf"/>
        <w:numPr>
          <w:ilvl w:val="0"/>
          <w:numId w:val="2"/>
        </w:numPr>
        <w:spacing w:before="60" w:after="60"/>
        <w:jc w:val="both"/>
      </w:pPr>
      <w:r>
        <w:t>Öğrenme güçlüğüne sahip çocukları çok boyutlu değerlendirme (akademik, sosyal, duygusal, davranışsal) yetkinliği kazanma</w:t>
      </w:r>
    </w:p>
    <w:p w:rsidR="000D601A" w:rsidRDefault="00044E1F" w:rsidP="00D8274C">
      <w:pPr>
        <w:pStyle w:val="ListeParagraf"/>
        <w:numPr>
          <w:ilvl w:val="0"/>
          <w:numId w:val="2"/>
        </w:numPr>
        <w:spacing w:before="60" w:after="60"/>
        <w:jc w:val="both"/>
      </w:pPr>
      <w:r>
        <w:t xml:space="preserve">Bireyselleştirilmiş eğitim planları ve </w:t>
      </w:r>
      <w:proofErr w:type="spellStart"/>
      <w:r>
        <w:t>öğretimsel</w:t>
      </w:r>
      <w:proofErr w:type="spellEnd"/>
      <w:r>
        <w:t xml:space="preserve"> düzenlemeler oluşturma sürecine katkı sağlayabilme</w:t>
      </w:r>
    </w:p>
    <w:p w:rsidR="000D601A" w:rsidRDefault="00044E1F" w:rsidP="00D8274C">
      <w:pPr>
        <w:pStyle w:val="ListeParagraf"/>
        <w:numPr>
          <w:ilvl w:val="0"/>
          <w:numId w:val="2"/>
        </w:numPr>
        <w:spacing w:before="60" w:after="60"/>
        <w:jc w:val="both"/>
      </w:pPr>
      <w:r>
        <w:t xml:space="preserve">DEHB ve öğrenme güçlüğü eş tanılı vakaları tanıyarak </w:t>
      </w:r>
      <w:proofErr w:type="spellStart"/>
      <w:r>
        <w:t>multidisipliner</w:t>
      </w:r>
      <w:proofErr w:type="spellEnd"/>
      <w:r>
        <w:t xml:space="preserve"> ekipte aktif rol üstlenme becerisi geliştirme</w:t>
      </w:r>
    </w:p>
    <w:p w:rsidR="000D601A" w:rsidRDefault="00044E1F" w:rsidP="00D8274C">
      <w:pPr>
        <w:pStyle w:val="ListeParagraf"/>
        <w:numPr>
          <w:ilvl w:val="0"/>
          <w:numId w:val="2"/>
        </w:numPr>
        <w:spacing w:before="60" w:after="60"/>
        <w:jc w:val="both"/>
      </w:pPr>
      <w:r>
        <w:t>Hemşirelik ve sağlık hizmetleri bağlamında çocuk, aile ve öğretmenle iş birliği içinde kanıta dayalı destek planları uygulayabilme</w:t>
      </w:r>
    </w:p>
    <w:p w:rsidR="000D601A" w:rsidRDefault="00044E1F" w:rsidP="00D8274C">
      <w:pPr>
        <w:pStyle w:val="Balk2"/>
        <w:jc w:val="both"/>
      </w:pPr>
      <w:r>
        <w:t>8.3 Sosyal ve Etik Kazanımlar</w:t>
      </w:r>
    </w:p>
    <w:p w:rsidR="000D601A" w:rsidRDefault="00044E1F" w:rsidP="00D8274C">
      <w:pPr>
        <w:pStyle w:val="ListeParagraf"/>
        <w:numPr>
          <w:ilvl w:val="0"/>
          <w:numId w:val="2"/>
        </w:numPr>
        <w:spacing w:before="60" w:after="60"/>
        <w:jc w:val="both"/>
      </w:pPr>
      <w:r>
        <w:t xml:space="preserve">Öğrenme güçlüğüne sahip bireylere ve ailelerine yönelik </w:t>
      </w:r>
      <w:proofErr w:type="gramStart"/>
      <w:r>
        <w:t>empati</w:t>
      </w:r>
      <w:proofErr w:type="gramEnd"/>
      <w:r>
        <w:t>, duyarlılık ve damgalamayı önleyici tutum geliştirme</w:t>
      </w:r>
    </w:p>
    <w:p w:rsidR="000D601A" w:rsidRDefault="00044E1F" w:rsidP="00D8274C">
      <w:pPr>
        <w:pStyle w:val="ListeParagraf"/>
        <w:numPr>
          <w:ilvl w:val="0"/>
          <w:numId w:val="2"/>
        </w:numPr>
        <w:spacing w:before="60" w:after="60"/>
        <w:jc w:val="both"/>
      </w:pPr>
      <w:r>
        <w:t>Kapsayıcı eğitim ilkeleri ve engelli hakları konusunda farkındalık kazanarak savunuculuk rolü benimseme</w:t>
      </w:r>
    </w:p>
    <w:p w:rsidR="000D601A" w:rsidRDefault="00044E1F" w:rsidP="00D8274C">
      <w:pPr>
        <w:pStyle w:val="ListeParagraf"/>
        <w:numPr>
          <w:ilvl w:val="0"/>
          <w:numId w:val="2"/>
        </w:numPr>
        <w:spacing w:before="60" w:after="60"/>
        <w:jc w:val="both"/>
      </w:pPr>
      <w:r>
        <w:t>Özel gereksinim alanında etik karar verme ve çatışma yönetimi becerilerini pekiştirme</w:t>
      </w:r>
    </w:p>
    <w:p w:rsidR="000D601A" w:rsidRDefault="00044E1F" w:rsidP="00D8274C">
      <w:pPr>
        <w:pStyle w:val="ListeParagraf"/>
        <w:numPr>
          <w:ilvl w:val="0"/>
          <w:numId w:val="2"/>
        </w:numPr>
        <w:spacing w:before="60" w:after="60"/>
        <w:jc w:val="both"/>
      </w:pPr>
      <w:r>
        <w:t>Yaşam boyu öğrenme anlayışıyla alandaki güncel gelişmeleri izleme ve mesleki gelişimini sürdürme taahhüdünü içselleştirme</w:t>
      </w:r>
    </w:p>
    <w:sectPr w:rsidR="000D601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229" w:rsidRDefault="00BB6229">
      <w:r>
        <w:separator/>
      </w:r>
    </w:p>
  </w:endnote>
  <w:endnote w:type="continuationSeparator" w:id="0">
    <w:p w:rsidR="00BB6229" w:rsidRDefault="00BB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1A" w:rsidRDefault="00044E1F">
    <w:pPr>
      <w:pBdr>
        <w:top w:val="single" w:sz="4" w:space="1" w:color="C0430A"/>
      </w:pBdr>
      <w:tabs>
        <w:tab w:val="right" w:pos="9026"/>
      </w:tabs>
      <w:spacing w:before="80"/>
    </w:pPr>
    <w:r>
      <w:rPr>
        <w:color w:val="555555"/>
        <w:sz w:val="18"/>
        <w:szCs w:val="18"/>
      </w:rPr>
      <w:t>CGB482 – Öğrenme Güçlüğü Olan Çocuğa Yaklaşım  |  2026–2027</w:t>
    </w:r>
    <w:r>
      <w:rPr>
        <w:sz w:val="18"/>
        <w:szCs w:val="18"/>
      </w:rPr>
      <w:tab/>
    </w:r>
    <w:r>
      <w:rPr>
        <w:color w:val="555555"/>
        <w:sz w:val="18"/>
        <w:szCs w:val="18"/>
      </w:rPr>
      <w:fldChar w:fldCharType="begin"/>
    </w:r>
    <w:r>
      <w:rPr>
        <w:color w:val="555555"/>
        <w:sz w:val="18"/>
        <w:szCs w:val="18"/>
      </w:rPr>
      <w:instrText>PAGE</w:instrText>
    </w:r>
    <w:r>
      <w:rPr>
        <w:color w:val="555555"/>
        <w:sz w:val="18"/>
        <w:szCs w:val="18"/>
      </w:rPr>
      <w:fldChar w:fldCharType="separate"/>
    </w:r>
    <w:r w:rsidR="00D564D4">
      <w:rPr>
        <w:noProof/>
        <w:color w:val="555555"/>
        <w:sz w:val="18"/>
        <w:szCs w:val="18"/>
      </w:rPr>
      <w:t>5</w:t>
    </w:r>
    <w:r>
      <w:rPr>
        <w:color w:val="555555"/>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229" w:rsidRDefault="00BB6229">
      <w:r>
        <w:separator/>
      </w:r>
    </w:p>
  </w:footnote>
  <w:footnote w:type="continuationSeparator" w:id="0">
    <w:p w:rsidR="00BB6229" w:rsidRDefault="00BB6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1A" w:rsidRDefault="00044E1F">
    <w:pPr>
      <w:pBdr>
        <w:bottom w:val="single" w:sz="4" w:space="1" w:color="C0430A"/>
      </w:pBdr>
      <w:spacing w:after="80"/>
    </w:pPr>
    <w:r>
      <w:rPr>
        <w:b/>
        <w:bCs/>
        <w:color w:val="8B2500"/>
        <w:sz w:val="18"/>
        <w:szCs w:val="18"/>
      </w:rPr>
      <w:t>ÖĞRENCİ AKADEMİK GELİŞİM ETKİNLİĞİ PROGRAMI (AGEP) — UYGULAMA PLANI 2026–2027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73A3"/>
    <w:multiLevelType w:val="hybridMultilevel"/>
    <w:tmpl w:val="0D78F6B2"/>
    <w:lvl w:ilvl="0" w:tplc="93F45CBE">
      <w:start w:val="1"/>
      <w:numFmt w:val="bullet"/>
      <w:lvlText w:val="•"/>
      <w:lvlJc w:val="left"/>
      <w:pPr>
        <w:ind w:left="720" w:hanging="360"/>
      </w:pPr>
    </w:lvl>
    <w:lvl w:ilvl="1" w:tplc="5726A37C">
      <w:numFmt w:val="decimal"/>
      <w:lvlText w:val=""/>
      <w:lvlJc w:val="left"/>
    </w:lvl>
    <w:lvl w:ilvl="2" w:tplc="7012F7BA">
      <w:numFmt w:val="decimal"/>
      <w:lvlText w:val=""/>
      <w:lvlJc w:val="left"/>
    </w:lvl>
    <w:lvl w:ilvl="3" w:tplc="5E30BAD4">
      <w:numFmt w:val="decimal"/>
      <w:lvlText w:val=""/>
      <w:lvlJc w:val="left"/>
    </w:lvl>
    <w:lvl w:ilvl="4" w:tplc="C9B4B374">
      <w:numFmt w:val="decimal"/>
      <w:lvlText w:val=""/>
      <w:lvlJc w:val="left"/>
    </w:lvl>
    <w:lvl w:ilvl="5" w:tplc="020E5524">
      <w:numFmt w:val="decimal"/>
      <w:lvlText w:val=""/>
      <w:lvlJc w:val="left"/>
    </w:lvl>
    <w:lvl w:ilvl="6" w:tplc="C07CFA5C">
      <w:numFmt w:val="decimal"/>
      <w:lvlText w:val=""/>
      <w:lvlJc w:val="left"/>
    </w:lvl>
    <w:lvl w:ilvl="7" w:tplc="6394C22A">
      <w:numFmt w:val="decimal"/>
      <w:lvlText w:val=""/>
      <w:lvlJc w:val="left"/>
    </w:lvl>
    <w:lvl w:ilvl="8" w:tplc="56020AC0">
      <w:numFmt w:val="decimal"/>
      <w:lvlText w:val=""/>
      <w:lvlJc w:val="left"/>
    </w:lvl>
  </w:abstractNum>
  <w:abstractNum w:abstractNumId="1">
    <w:nsid w:val="3FEA30C9"/>
    <w:multiLevelType w:val="hybridMultilevel"/>
    <w:tmpl w:val="7D54612C"/>
    <w:lvl w:ilvl="0" w:tplc="2C8411FC">
      <w:start w:val="1"/>
      <w:numFmt w:val="bullet"/>
      <w:lvlText w:val="●"/>
      <w:lvlJc w:val="left"/>
      <w:pPr>
        <w:ind w:left="720" w:hanging="360"/>
      </w:pPr>
    </w:lvl>
    <w:lvl w:ilvl="1" w:tplc="501EF196">
      <w:start w:val="1"/>
      <w:numFmt w:val="bullet"/>
      <w:lvlText w:val="○"/>
      <w:lvlJc w:val="left"/>
      <w:pPr>
        <w:ind w:left="1440" w:hanging="360"/>
      </w:pPr>
    </w:lvl>
    <w:lvl w:ilvl="2" w:tplc="C5E22510">
      <w:start w:val="1"/>
      <w:numFmt w:val="bullet"/>
      <w:lvlText w:val="■"/>
      <w:lvlJc w:val="left"/>
      <w:pPr>
        <w:ind w:left="2160" w:hanging="360"/>
      </w:pPr>
    </w:lvl>
    <w:lvl w:ilvl="3" w:tplc="1FFC666A">
      <w:start w:val="1"/>
      <w:numFmt w:val="bullet"/>
      <w:lvlText w:val="●"/>
      <w:lvlJc w:val="left"/>
      <w:pPr>
        <w:ind w:left="2880" w:hanging="360"/>
      </w:pPr>
    </w:lvl>
    <w:lvl w:ilvl="4" w:tplc="7E588986">
      <w:start w:val="1"/>
      <w:numFmt w:val="bullet"/>
      <w:lvlText w:val="○"/>
      <w:lvlJc w:val="left"/>
      <w:pPr>
        <w:ind w:left="3600" w:hanging="360"/>
      </w:pPr>
    </w:lvl>
    <w:lvl w:ilvl="5" w:tplc="5948A9E8">
      <w:start w:val="1"/>
      <w:numFmt w:val="bullet"/>
      <w:lvlText w:val="■"/>
      <w:lvlJc w:val="left"/>
      <w:pPr>
        <w:ind w:left="4320" w:hanging="360"/>
      </w:pPr>
    </w:lvl>
    <w:lvl w:ilvl="6" w:tplc="92C07C9A">
      <w:start w:val="1"/>
      <w:numFmt w:val="bullet"/>
      <w:lvlText w:val="●"/>
      <w:lvlJc w:val="left"/>
      <w:pPr>
        <w:ind w:left="5040" w:hanging="360"/>
      </w:pPr>
    </w:lvl>
    <w:lvl w:ilvl="7" w:tplc="C13CA332">
      <w:start w:val="1"/>
      <w:numFmt w:val="bullet"/>
      <w:lvlText w:val="●"/>
      <w:lvlJc w:val="left"/>
      <w:pPr>
        <w:ind w:left="5760" w:hanging="360"/>
      </w:pPr>
    </w:lvl>
    <w:lvl w:ilvl="8" w:tplc="2354A770">
      <w:start w:val="1"/>
      <w:numFmt w:val="bullet"/>
      <w:lvlText w:val="●"/>
      <w:lvlJc w:val="left"/>
      <w:pPr>
        <w:ind w:left="6480" w:hanging="360"/>
      </w:pPr>
    </w:lvl>
  </w:abstractNum>
  <w:abstractNum w:abstractNumId="2">
    <w:nsid w:val="45A477DB"/>
    <w:multiLevelType w:val="multilevel"/>
    <w:tmpl w:val="BAC2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C667234"/>
    <w:multiLevelType w:val="hybridMultilevel"/>
    <w:tmpl w:val="EC46F080"/>
    <w:lvl w:ilvl="0" w:tplc="0BD8DC72">
      <w:start w:val="1"/>
      <w:numFmt w:val="decimal"/>
      <w:lvlText w:val="%1."/>
      <w:lvlJc w:val="left"/>
      <w:pPr>
        <w:ind w:left="720" w:hanging="360"/>
      </w:pPr>
    </w:lvl>
    <w:lvl w:ilvl="1" w:tplc="9FA287C8">
      <w:numFmt w:val="decimal"/>
      <w:lvlText w:val=""/>
      <w:lvlJc w:val="left"/>
    </w:lvl>
    <w:lvl w:ilvl="2" w:tplc="88F4A424">
      <w:numFmt w:val="decimal"/>
      <w:lvlText w:val=""/>
      <w:lvlJc w:val="left"/>
    </w:lvl>
    <w:lvl w:ilvl="3" w:tplc="63869A48">
      <w:numFmt w:val="decimal"/>
      <w:lvlText w:val=""/>
      <w:lvlJc w:val="left"/>
    </w:lvl>
    <w:lvl w:ilvl="4" w:tplc="58288C30">
      <w:numFmt w:val="decimal"/>
      <w:lvlText w:val=""/>
      <w:lvlJc w:val="left"/>
    </w:lvl>
    <w:lvl w:ilvl="5" w:tplc="8AFC7090">
      <w:numFmt w:val="decimal"/>
      <w:lvlText w:val=""/>
      <w:lvlJc w:val="left"/>
    </w:lvl>
    <w:lvl w:ilvl="6" w:tplc="BBA88FAA">
      <w:numFmt w:val="decimal"/>
      <w:lvlText w:val=""/>
      <w:lvlJc w:val="left"/>
    </w:lvl>
    <w:lvl w:ilvl="7" w:tplc="CE5637E4">
      <w:numFmt w:val="decimal"/>
      <w:lvlText w:val=""/>
      <w:lvlJc w:val="left"/>
    </w:lvl>
    <w:lvl w:ilvl="8" w:tplc="91026F36">
      <w:numFmt w:val="decimal"/>
      <w:lvlText w:val=""/>
      <w:lvlJc w:val="left"/>
    </w:lvl>
  </w:abstractNum>
  <w:num w:numId="1">
    <w:abstractNumId w:val="1"/>
    <w:lvlOverride w:ilvl="0">
      <w:startOverride w:val="1"/>
    </w:lvlOverride>
  </w:num>
  <w:num w:numId="2">
    <w:abstractNumId w:val="0"/>
    <w:lvlOverride w:ilvl="0">
      <w:startOverride w:val="1"/>
    </w:lvlOverride>
  </w:num>
  <w:num w:numId="3">
    <w:abstractNumId w:val="3"/>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D601A"/>
    <w:rsid w:val="00044E1F"/>
    <w:rsid w:val="000D601A"/>
    <w:rsid w:val="00BB6229"/>
    <w:rsid w:val="00BF3E3E"/>
    <w:rsid w:val="00D564D4"/>
    <w:rsid w:val="00D82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qFormat/>
    <w:pPr>
      <w:spacing w:before="360" w:after="160"/>
      <w:outlineLvl w:val="0"/>
    </w:pPr>
    <w:rPr>
      <w:b/>
      <w:bCs/>
      <w:color w:val="8B2500"/>
      <w:sz w:val="28"/>
      <w:szCs w:val="28"/>
    </w:rPr>
  </w:style>
  <w:style w:type="paragraph" w:styleId="Balk2">
    <w:name w:val="heading 2"/>
    <w:qFormat/>
    <w:pPr>
      <w:spacing w:before="240" w:after="120"/>
      <w:outlineLvl w:val="1"/>
    </w:pPr>
    <w:rPr>
      <w:b/>
      <w:bCs/>
      <w:color w:val="C0430A"/>
      <w:sz w:val="24"/>
      <w:szCs w:val="24"/>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qFormat/>
    <w:pPr>
      <w:spacing w:before="360" w:after="160"/>
      <w:outlineLvl w:val="0"/>
    </w:pPr>
    <w:rPr>
      <w:b/>
      <w:bCs/>
      <w:color w:val="8B2500"/>
      <w:sz w:val="28"/>
      <w:szCs w:val="28"/>
    </w:rPr>
  </w:style>
  <w:style w:type="paragraph" w:styleId="Balk2">
    <w:name w:val="heading 2"/>
    <w:qFormat/>
    <w:pPr>
      <w:spacing w:before="240" w:after="120"/>
      <w:outlineLvl w:val="1"/>
    </w:pPr>
    <w:rPr>
      <w:b/>
      <w:bCs/>
      <w:color w:val="C0430A"/>
      <w:sz w:val="24"/>
      <w:szCs w:val="24"/>
    </w:rPr>
  </w:style>
  <w:style w:type="paragraph" w:styleId="Balk3">
    <w:name w:val="heading 3"/>
    <w:qFormat/>
    <w:pPr>
      <w:outlineLvl w:val="2"/>
    </w:pPr>
    <w:rPr>
      <w:color w:val="1F4D78"/>
      <w:sz w:val="24"/>
      <w:szCs w:val="24"/>
    </w:rPr>
  </w:style>
  <w:style w:type="paragraph" w:styleId="Balk4">
    <w:name w:val="heading 4"/>
    <w:qFormat/>
    <w:pPr>
      <w:outlineLvl w:val="3"/>
    </w:pPr>
    <w:rPr>
      <w:i/>
      <w:iCs/>
      <w:color w:val="2E74B5"/>
    </w:rPr>
  </w:style>
  <w:style w:type="paragraph" w:styleId="Balk5">
    <w:name w:val="heading 5"/>
    <w:qFormat/>
    <w:pPr>
      <w:outlineLvl w:val="4"/>
    </w:pPr>
    <w:rPr>
      <w:color w:val="2E74B5"/>
    </w:rPr>
  </w:style>
  <w:style w:type="paragraph" w:styleId="Balk6">
    <w:name w:val="heading 6"/>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1764</Words>
  <Characters>10055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3</cp:revision>
  <dcterms:created xsi:type="dcterms:W3CDTF">2026-04-20T19:38:00Z</dcterms:created>
  <dcterms:modified xsi:type="dcterms:W3CDTF">2026-04-21T22:02:00Z</dcterms:modified>
</cp:coreProperties>
</file>