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49"/>
      </w:tblGrid>
      <w:tr w:rsidR="00E6476B" w:rsidRPr="00DD10C0" w:rsidTr="00D21464">
        <w:trPr>
          <w:trHeight w:val="7322"/>
        </w:trPr>
        <w:tc>
          <w:tcPr>
            <w:tcW w:w="10349" w:type="dxa"/>
          </w:tcPr>
          <w:p w:rsidR="00E6476B" w:rsidRPr="001A6D49" w:rsidRDefault="00A03D19" w:rsidP="0005241F">
            <w:pPr>
              <w:spacing w:after="0" w:line="240" w:lineRule="auto"/>
              <w:jc w:val="center"/>
              <w:rPr>
                <w:rFonts w:ascii="Times New Roman" w:eastAsia="Times New Roman" w:hAnsi="Times New Roman" w:cs="Times New Roman"/>
                <w:color w:val="000000"/>
              </w:rPr>
            </w:pPr>
            <w:bookmarkStart w:id="0" w:name="_Toc175557669"/>
            <w:r>
              <w:rPr>
                <w:rFonts w:ascii="Times New Roman" w:eastAsia="Times New Roman" w:hAnsi="Times New Roman" w:cs="Times New Roman"/>
                <w:color w:val="000000"/>
              </w:rPr>
              <w:br/>
            </w:r>
            <w:r w:rsidR="00E6476B" w:rsidRPr="001A6D49">
              <w:rPr>
                <w:rFonts w:ascii="Times New Roman" w:eastAsia="Times New Roman" w:hAnsi="Times New Roman" w:cs="Times New Roman"/>
                <w:color w:val="000000"/>
              </w:rPr>
              <w:t>T.C.</w:t>
            </w:r>
          </w:p>
          <w:p w:rsidR="00E6476B" w:rsidRPr="001A6D49" w:rsidRDefault="00E6476B" w:rsidP="0005241F">
            <w:pPr>
              <w:spacing w:after="0" w:line="240" w:lineRule="auto"/>
              <w:jc w:val="center"/>
              <w:rPr>
                <w:rFonts w:ascii="Times New Roman" w:eastAsia="Times New Roman" w:hAnsi="Times New Roman" w:cs="Times New Roman"/>
                <w:color w:val="000000"/>
              </w:rPr>
            </w:pPr>
            <w:r w:rsidRPr="001A6D49">
              <w:rPr>
                <w:rFonts w:ascii="Times New Roman" w:eastAsia="Times New Roman" w:hAnsi="Times New Roman" w:cs="Times New Roman"/>
                <w:color w:val="000000"/>
              </w:rPr>
              <w:t>YOZGAT BOZOK ÜNİVERSİTESİ</w:t>
            </w:r>
          </w:p>
          <w:p w:rsidR="00E6476B" w:rsidRPr="001A6D49" w:rsidRDefault="00E6476B" w:rsidP="0005241F">
            <w:pPr>
              <w:spacing w:after="0" w:line="240" w:lineRule="auto"/>
              <w:jc w:val="center"/>
              <w:rPr>
                <w:rFonts w:ascii="Times New Roman" w:eastAsia="Times New Roman" w:hAnsi="Times New Roman" w:cs="Times New Roman"/>
                <w:color w:val="000000"/>
              </w:rPr>
            </w:pPr>
            <w:r w:rsidRPr="001A6D49">
              <w:rPr>
                <w:rFonts w:ascii="Times New Roman" w:eastAsia="Times New Roman" w:hAnsi="Times New Roman" w:cs="Times New Roman"/>
                <w:color w:val="000000"/>
              </w:rPr>
              <w:t>LİSANSÜSTÜ EĞİTİM ENSTİTÜSÜ</w:t>
            </w:r>
            <w:r w:rsidR="00481E70">
              <w:rPr>
                <w:rFonts w:ascii="Times New Roman" w:eastAsia="Times New Roman" w:hAnsi="Times New Roman" w:cs="Times New Roman"/>
                <w:color w:val="000000"/>
              </w:rPr>
              <w:t xml:space="preserve"> MÜDÜRLÜĞÜNE</w:t>
            </w:r>
          </w:p>
          <w:p w:rsidR="00E6476B" w:rsidRPr="001A6D49" w:rsidRDefault="00E6476B" w:rsidP="0005241F">
            <w:pPr>
              <w:spacing w:after="0" w:line="240" w:lineRule="auto"/>
              <w:jc w:val="center"/>
              <w:rPr>
                <w:rFonts w:ascii="Times New Roman" w:eastAsia="Times New Roman" w:hAnsi="Times New Roman" w:cs="Times New Roman"/>
              </w:rPr>
            </w:pPr>
          </w:p>
          <w:p w:rsidR="00E6476B" w:rsidRPr="001A6D49" w:rsidRDefault="00E6476B" w:rsidP="0005241F">
            <w:pPr>
              <w:spacing w:after="0" w:line="240" w:lineRule="auto"/>
              <w:jc w:val="both"/>
              <w:rPr>
                <w:rFonts w:ascii="Times New Roman" w:eastAsia="Times New Roman" w:hAnsi="Times New Roman" w:cs="Times New Roman"/>
              </w:rPr>
            </w:pPr>
          </w:p>
          <w:p w:rsidR="00E6476B" w:rsidRDefault="00E6476B" w:rsidP="0005241F">
            <w:pPr>
              <w:spacing w:after="0" w:line="240" w:lineRule="auto"/>
              <w:jc w:val="both"/>
              <w:rPr>
                <w:rFonts w:ascii="Times New Roman" w:eastAsia="Times New Roman" w:hAnsi="Times New Roman" w:cs="Times New Roman"/>
              </w:rPr>
            </w:pPr>
            <w:r w:rsidRPr="001A6D49">
              <w:rPr>
                <w:rFonts w:ascii="Times New Roman" w:eastAsia="Times New Roman" w:hAnsi="Times New Roman" w:cs="Times New Roman"/>
                <w:color w:val="000000"/>
              </w:rPr>
              <w:t>Anabilim Dalı</w:t>
            </w:r>
            <w:r>
              <w:rPr>
                <w:rFonts w:ascii="Times New Roman" w:eastAsia="Times New Roman" w:hAnsi="Times New Roman" w:cs="Times New Roman"/>
                <w:color w:val="000000"/>
              </w:rPr>
              <w:t xml:space="preserve">mız </w:t>
            </w:r>
            <w:proofErr w:type="gramStart"/>
            <w:r>
              <w:rPr>
                <w:rFonts w:ascii="Times New Roman" w:eastAsia="Times New Roman" w:hAnsi="Times New Roman" w:cs="Times New Roman"/>
                <w:color w:val="000000"/>
              </w:rPr>
              <w:t>…………………..</w:t>
            </w:r>
            <w:proofErr w:type="gramEnd"/>
            <w:r w:rsidR="00F45F28">
              <w:rPr>
                <w:rFonts w:ascii="Times New Roman" w:eastAsia="Times New Roman" w:hAnsi="Times New Roman" w:cs="Times New Roman"/>
                <w:color w:val="000000"/>
              </w:rPr>
              <w:t xml:space="preserve"> Programı </w:t>
            </w:r>
            <w:proofErr w:type="gramStart"/>
            <w:r w:rsidR="00F45F28">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numaralı öğrencisi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nın</w:t>
            </w:r>
            <w:proofErr w:type="spellEnd"/>
            <w:r w:rsidRPr="001A6D49">
              <w:rPr>
                <w:rFonts w:ascii="Times New Roman" w:eastAsia="Times New Roman" w:hAnsi="Times New Roman" w:cs="Times New Roman"/>
                <w:color w:val="000000"/>
              </w:rPr>
              <w:t xml:space="preserve"> </w:t>
            </w:r>
            <w:r>
              <w:rPr>
                <w:rFonts w:ascii="Times New Roman" w:eastAsia="Times New Roman" w:hAnsi="Times New Roman" w:cs="Times New Roman"/>
              </w:rPr>
              <w:t>daha önce öğrenim gördüğü</w:t>
            </w:r>
            <w:r w:rsidRPr="001A6D49">
              <w:rPr>
                <w:rFonts w:ascii="Times New Roman" w:eastAsia="Times New Roman" w:hAnsi="Times New Roman" w:cs="Times New Roman"/>
              </w:rPr>
              <w:t xml:space="preserve"> …………………....………… Üniversitesi </w:t>
            </w:r>
            <w:proofErr w:type="gramStart"/>
            <w:r w:rsidRPr="001A6D49">
              <w:rPr>
                <w:rFonts w:ascii="Times New Roman" w:eastAsia="Times New Roman" w:hAnsi="Times New Roman" w:cs="Times New Roman"/>
              </w:rPr>
              <w:t>…………………..</w:t>
            </w:r>
            <w:proofErr w:type="gramEnd"/>
            <w:r w:rsidRPr="001A6D49">
              <w:rPr>
                <w:rFonts w:ascii="Times New Roman" w:eastAsia="Times New Roman" w:hAnsi="Times New Roman" w:cs="Times New Roman"/>
              </w:rPr>
              <w:t xml:space="preserve"> Enstitüsü</w:t>
            </w:r>
            <w:r>
              <w:rPr>
                <w:rFonts w:ascii="Times New Roman" w:eastAsia="Times New Roman" w:hAnsi="Times New Roman" w:cs="Times New Roman"/>
              </w:rPr>
              <w:t xml:space="preserve">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programına</w:t>
            </w:r>
            <w:r w:rsidRPr="001A6D49">
              <w:rPr>
                <w:rFonts w:ascii="Times New Roman" w:eastAsia="Times New Roman" w:hAnsi="Times New Roman" w:cs="Times New Roman"/>
              </w:rPr>
              <w:t xml:space="preserve"> ait </w:t>
            </w:r>
            <w:r w:rsidR="00D21464" w:rsidRPr="00D21464">
              <w:rPr>
                <w:rFonts w:ascii="Times New Roman" w:eastAsia="Times New Roman" w:hAnsi="Times New Roman" w:cs="Times New Roman"/>
                <w:b/>
              </w:rPr>
              <w:t>saydırma/</w:t>
            </w:r>
            <w:r w:rsidRPr="00D21464">
              <w:rPr>
                <w:rFonts w:ascii="Times New Roman" w:eastAsia="Times New Roman" w:hAnsi="Times New Roman" w:cs="Times New Roman"/>
                <w:b/>
              </w:rPr>
              <w:t>muafiyet</w:t>
            </w:r>
            <w:r>
              <w:rPr>
                <w:rFonts w:ascii="Times New Roman" w:eastAsia="Times New Roman" w:hAnsi="Times New Roman" w:cs="Times New Roman"/>
              </w:rPr>
              <w:t xml:space="preserve"> talebi</w:t>
            </w:r>
            <w:r w:rsidR="00D77952">
              <w:rPr>
                <w:rFonts w:ascii="Times New Roman" w:eastAsia="Times New Roman" w:hAnsi="Times New Roman" w:cs="Times New Roman"/>
              </w:rPr>
              <w:t>nin</w:t>
            </w:r>
            <w:r>
              <w:rPr>
                <w:rFonts w:ascii="Times New Roman" w:eastAsia="Times New Roman" w:hAnsi="Times New Roman" w:cs="Times New Roman"/>
              </w:rPr>
              <w:t xml:space="preserve"> aşağ</w:t>
            </w:r>
            <w:r w:rsidR="004D2302">
              <w:rPr>
                <w:rFonts w:ascii="Times New Roman" w:eastAsia="Times New Roman" w:hAnsi="Times New Roman" w:cs="Times New Roman"/>
              </w:rPr>
              <w:t xml:space="preserve">ıdaki şekilde kabul edilmesinin ve öğrencinin </w:t>
            </w:r>
            <w:proofErr w:type="gramStart"/>
            <w:r w:rsidR="004D2302">
              <w:rPr>
                <w:rFonts w:ascii="Times New Roman" w:eastAsia="Times New Roman" w:hAnsi="Times New Roman" w:cs="Times New Roman"/>
              </w:rPr>
              <w:t>…..</w:t>
            </w:r>
            <w:proofErr w:type="gramEnd"/>
            <w:r w:rsidR="004D2302">
              <w:rPr>
                <w:rFonts w:ascii="Times New Roman" w:eastAsia="Times New Roman" w:hAnsi="Times New Roman" w:cs="Times New Roman"/>
              </w:rPr>
              <w:t xml:space="preserve"> </w:t>
            </w:r>
            <w:proofErr w:type="gramStart"/>
            <w:r w:rsidR="004D2302">
              <w:rPr>
                <w:rFonts w:ascii="Times New Roman" w:eastAsia="Times New Roman" w:hAnsi="Times New Roman" w:cs="Times New Roman"/>
              </w:rPr>
              <w:t>yarıyıldan</w:t>
            </w:r>
            <w:proofErr w:type="gramEnd"/>
            <w:r w:rsidR="00EA146F">
              <w:rPr>
                <w:rFonts w:ascii="Times New Roman" w:eastAsia="Times New Roman" w:hAnsi="Times New Roman" w:cs="Times New Roman"/>
              </w:rPr>
              <w:t>***</w:t>
            </w:r>
            <w:r w:rsidR="004D2302">
              <w:rPr>
                <w:rFonts w:ascii="Times New Roman" w:eastAsia="Times New Roman" w:hAnsi="Times New Roman" w:cs="Times New Roman"/>
              </w:rPr>
              <w:t xml:space="preserve"> başlamasının uygun olduğuna karar verilmiştir.</w:t>
            </w:r>
          </w:p>
          <w:p w:rsidR="00E6476B" w:rsidRPr="001A6D49" w:rsidRDefault="00E6476B" w:rsidP="0005241F">
            <w:pPr>
              <w:spacing w:after="0" w:line="240" w:lineRule="auto"/>
              <w:jc w:val="both"/>
              <w:rPr>
                <w:rFonts w:ascii="Times New Roman" w:eastAsia="Times New Roman" w:hAnsi="Times New Roman" w:cs="Times New Roman"/>
              </w:rPr>
            </w:pPr>
          </w:p>
          <w:p w:rsidR="00E6476B" w:rsidRPr="001A6D49" w:rsidRDefault="00776537" w:rsidP="0005241F">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Sayılacak/Muaf Edilecek </w:t>
            </w:r>
            <w:r w:rsidRPr="00776537">
              <w:rPr>
                <w:rFonts w:ascii="Times New Roman" w:eastAsia="Times New Roman" w:hAnsi="Times New Roman" w:cs="Times New Roman"/>
                <w:b/>
              </w:rPr>
              <w:t>Ders</w:t>
            </w:r>
            <w:r w:rsidR="00E6476B" w:rsidRPr="00776537">
              <w:rPr>
                <w:rFonts w:ascii="Times New Roman" w:eastAsia="Times New Roman" w:hAnsi="Times New Roman" w:cs="Times New Roman"/>
                <w:b/>
              </w:rPr>
              <w:t>(</w:t>
            </w:r>
            <w:proofErr w:type="spellStart"/>
            <w:r w:rsidR="00E6476B" w:rsidRPr="00776537">
              <w:rPr>
                <w:rFonts w:ascii="Times New Roman" w:eastAsia="Times New Roman" w:hAnsi="Times New Roman" w:cs="Times New Roman"/>
                <w:b/>
              </w:rPr>
              <w:t>ler</w:t>
            </w:r>
            <w:proofErr w:type="spellEnd"/>
            <w:r w:rsidR="00E6476B" w:rsidRPr="00776537">
              <w:rPr>
                <w:rFonts w:ascii="Times New Roman" w:eastAsia="Times New Roman" w:hAnsi="Times New Roman" w:cs="Times New Roman"/>
                <w:b/>
              </w:rPr>
              <w:t>)in Bilgisi</w:t>
            </w:r>
          </w:p>
          <w:tbl>
            <w:tblPr>
              <w:tblStyle w:val="TabloKlavuzu"/>
              <w:tblW w:w="5000" w:type="pct"/>
              <w:tblCellMar>
                <w:left w:w="70" w:type="dxa"/>
                <w:right w:w="70" w:type="dxa"/>
              </w:tblCellMar>
              <w:tblLook w:val="04A0" w:firstRow="1" w:lastRow="0" w:firstColumn="1" w:lastColumn="0" w:noHBand="0" w:noVBand="1"/>
            </w:tblPr>
            <w:tblGrid>
              <w:gridCol w:w="1264"/>
              <w:gridCol w:w="1265"/>
              <w:gridCol w:w="895"/>
              <w:gridCol w:w="943"/>
              <w:gridCol w:w="1097"/>
              <w:gridCol w:w="1732"/>
              <w:gridCol w:w="791"/>
              <w:gridCol w:w="1065"/>
              <w:gridCol w:w="1067"/>
            </w:tblGrid>
            <w:tr w:rsidR="00D21464" w:rsidRPr="001A6D49" w:rsidTr="005F590C">
              <w:trPr>
                <w:trHeight w:val="900"/>
              </w:trPr>
              <w:tc>
                <w:tcPr>
                  <w:tcW w:w="2158" w:type="pct"/>
                  <w:gridSpan w:val="4"/>
                  <w:tcBorders>
                    <w:top w:val="thickThinSmallGap" w:sz="24" w:space="0" w:color="auto"/>
                    <w:left w:val="thinThickSmallGap" w:sz="24" w:space="0" w:color="auto"/>
                    <w:bottom w:val="single" w:sz="6" w:space="0" w:color="auto"/>
                    <w:right w:val="thickThinSmallGap" w:sz="24" w:space="0" w:color="auto"/>
                  </w:tcBorders>
                  <w:tcMar>
                    <w:top w:w="0" w:type="dxa"/>
                    <w:left w:w="108" w:type="dxa"/>
                    <w:bottom w:w="0" w:type="dxa"/>
                    <w:right w:w="108" w:type="dxa"/>
                  </w:tcMar>
                  <w:hideMark/>
                </w:tcPr>
                <w:p w:rsidR="00D21464" w:rsidRPr="001A6D49" w:rsidRDefault="00957B1B" w:rsidP="0005241F">
                  <w:pPr>
                    <w:jc w:val="center"/>
                    <w:rPr>
                      <w:rFonts w:ascii="Times New Roman" w:hAnsi="Times New Roman" w:cs="Times New Roman"/>
                    </w:rPr>
                  </w:pPr>
                  <w:proofErr w:type="gramStart"/>
                  <w:r w:rsidRPr="001A6D49">
                    <w:rPr>
                      <w:rFonts w:ascii="Times New Roman" w:hAnsi="Times New Roman" w:cs="Times New Roman"/>
                    </w:rPr>
                    <w:t>….</w:t>
                  </w:r>
                  <w:proofErr w:type="gramEnd"/>
                  <w:r w:rsidRPr="001A6D49">
                    <w:rPr>
                      <w:rFonts w:ascii="Times New Roman" w:hAnsi="Times New Roman" w:cs="Times New Roman"/>
                    </w:rPr>
                    <w:t xml:space="preserve">Üniversitesi …. Enstitüsü </w:t>
                  </w:r>
                  <w:proofErr w:type="gramStart"/>
                  <w:r w:rsidRPr="001A6D49">
                    <w:rPr>
                      <w:rFonts w:ascii="Times New Roman" w:hAnsi="Times New Roman" w:cs="Times New Roman"/>
                    </w:rPr>
                    <w:t>…..</w:t>
                  </w:r>
                  <w:proofErr w:type="gramEnd"/>
                  <w:r w:rsidRPr="001A6D49">
                    <w:rPr>
                      <w:rFonts w:ascii="Times New Roman" w:hAnsi="Times New Roman" w:cs="Times New Roman"/>
                    </w:rPr>
                    <w:t xml:space="preserve"> A</w:t>
                  </w:r>
                  <w:r>
                    <w:rPr>
                      <w:rFonts w:ascii="Times New Roman" w:hAnsi="Times New Roman" w:cs="Times New Roman"/>
                    </w:rPr>
                    <w:t xml:space="preserve">nabilim Dalı </w:t>
                  </w:r>
                  <w:proofErr w:type="gramStart"/>
                  <w:r>
                    <w:rPr>
                      <w:rFonts w:ascii="Times New Roman" w:hAnsi="Times New Roman" w:cs="Times New Roman"/>
                    </w:rPr>
                    <w:t>…………….</w:t>
                  </w:r>
                  <w:proofErr w:type="gramEnd"/>
                  <w:r>
                    <w:rPr>
                      <w:rFonts w:ascii="Times New Roman" w:hAnsi="Times New Roman" w:cs="Times New Roman"/>
                    </w:rPr>
                    <w:t xml:space="preserve"> Programında </w:t>
                  </w:r>
                  <w:r w:rsidRPr="001A6D49">
                    <w:rPr>
                      <w:rFonts w:ascii="Times New Roman" w:hAnsi="Times New Roman" w:cs="Times New Roman"/>
                    </w:rPr>
                    <w:t>Aldığı Dersler</w:t>
                  </w:r>
                </w:p>
              </w:tc>
              <w:tc>
                <w:tcPr>
                  <w:tcW w:w="2315" w:type="pct"/>
                  <w:gridSpan w:val="4"/>
                  <w:tcBorders>
                    <w:top w:val="thickThinSmallGap" w:sz="24" w:space="0" w:color="auto"/>
                    <w:left w:val="thickThinSmallGap" w:sz="24" w:space="0" w:color="auto"/>
                    <w:bottom w:val="single" w:sz="6" w:space="0" w:color="auto"/>
                    <w:right w:val="thickThinSmallGap" w:sz="24" w:space="0" w:color="auto"/>
                  </w:tcBorders>
                  <w:tcMar>
                    <w:top w:w="0" w:type="dxa"/>
                    <w:left w:w="108" w:type="dxa"/>
                    <w:bottom w:w="0" w:type="dxa"/>
                    <w:right w:w="108" w:type="dxa"/>
                  </w:tcMar>
                  <w:hideMark/>
                </w:tcPr>
                <w:p w:rsidR="00D21464" w:rsidRPr="001A6D49" w:rsidRDefault="00957B1B" w:rsidP="0005241F">
                  <w:pPr>
                    <w:jc w:val="center"/>
                    <w:rPr>
                      <w:rFonts w:ascii="Times New Roman" w:hAnsi="Times New Roman" w:cs="Times New Roman"/>
                    </w:rPr>
                  </w:pPr>
                  <w:r w:rsidRPr="001A6D49">
                    <w:rPr>
                      <w:rFonts w:ascii="Times New Roman" w:hAnsi="Times New Roman" w:cs="Times New Roman"/>
                    </w:rPr>
                    <w:t>Yozgat Bozok Üniversitesi Li</w:t>
                  </w:r>
                  <w:r>
                    <w:rPr>
                      <w:rFonts w:ascii="Times New Roman" w:hAnsi="Times New Roman" w:cs="Times New Roman"/>
                    </w:rPr>
                    <w:t xml:space="preserve">sansüstü Eğitim Enstitüsü </w:t>
                  </w:r>
                  <w:proofErr w:type="gramStart"/>
                  <w:r>
                    <w:rPr>
                      <w:rFonts w:ascii="Times New Roman" w:hAnsi="Times New Roman" w:cs="Times New Roman"/>
                    </w:rPr>
                    <w:t>….….</w:t>
                  </w:r>
                  <w:proofErr w:type="gramEnd"/>
                  <w:r>
                    <w:rPr>
                      <w:rFonts w:ascii="Times New Roman" w:hAnsi="Times New Roman" w:cs="Times New Roman"/>
                    </w:rPr>
                    <w:t xml:space="preserve"> Anabilim Dalı </w:t>
                  </w:r>
                  <w:proofErr w:type="gramStart"/>
                  <w:r>
                    <w:rPr>
                      <w:rFonts w:ascii="Times New Roman" w:hAnsi="Times New Roman" w:cs="Times New Roman"/>
                    </w:rPr>
                    <w:t>…….….</w:t>
                  </w:r>
                  <w:proofErr w:type="gramEnd"/>
                  <w:r>
                    <w:rPr>
                      <w:rFonts w:ascii="Times New Roman" w:hAnsi="Times New Roman" w:cs="Times New Roman"/>
                    </w:rPr>
                    <w:t xml:space="preserve"> Programında</w:t>
                  </w:r>
                  <w:r w:rsidRPr="001A6D49">
                    <w:rPr>
                      <w:rFonts w:ascii="Times New Roman" w:hAnsi="Times New Roman" w:cs="Times New Roman"/>
                    </w:rPr>
                    <w:t xml:space="preserve"> Yerine Sayılacak</w:t>
                  </w:r>
                  <w:r>
                    <w:rPr>
                      <w:rFonts w:ascii="Times New Roman" w:hAnsi="Times New Roman" w:cs="Times New Roman"/>
                    </w:rPr>
                    <w:t>/Muaf Edilecek</w:t>
                  </w:r>
                  <w:r w:rsidRPr="001A6D49">
                    <w:rPr>
                      <w:rFonts w:ascii="Times New Roman" w:hAnsi="Times New Roman" w:cs="Times New Roman"/>
                    </w:rPr>
                    <w:t xml:space="preserve"> Dersler </w:t>
                  </w:r>
                </w:p>
              </w:tc>
              <w:tc>
                <w:tcPr>
                  <w:tcW w:w="527" w:type="pct"/>
                  <w:tcBorders>
                    <w:top w:val="thickThinSmallGap" w:sz="24" w:space="0" w:color="auto"/>
                    <w:left w:val="thickThinSmallGap" w:sz="24" w:space="0" w:color="auto"/>
                    <w:bottom w:val="single" w:sz="6" w:space="0" w:color="auto"/>
                    <w:right w:val="thickThinSmallGap" w:sz="24" w:space="0" w:color="auto"/>
                  </w:tcBorders>
                </w:tcPr>
                <w:p w:rsidR="00D21464" w:rsidRDefault="00D21464" w:rsidP="0005241F">
                  <w:pPr>
                    <w:jc w:val="center"/>
                    <w:rPr>
                      <w:rFonts w:ascii="Times New Roman" w:hAnsi="Times New Roman" w:cs="Times New Roman"/>
                    </w:rPr>
                  </w:pPr>
                  <w:r>
                    <w:rPr>
                      <w:rFonts w:ascii="Times New Roman" w:hAnsi="Times New Roman" w:cs="Times New Roman"/>
                    </w:rPr>
                    <w:t>Saydırma/</w:t>
                  </w:r>
                </w:p>
                <w:p w:rsidR="00D21464" w:rsidRDefault="00D21464" w:rsidP="0005241F">
                  <w:pPr>
                    <w:jc w:val="center"/>
                    <w:rPr>
                      <w:rFonts w:ascii="Times New Roman" w:hAnsi="Times New Roman" w:cs="Times New Roman"/>
                    </w:rPr>
                  </w:pPr>
                  <w:r>
                    <w:rPr>
                      <w:rFonts w:ascii="Times New Roman" w:hAnsi="Times New Roman" w:cs="Times New Roman"/>
                    </w:rPr>
                    <w:t>Muaf</w:t>
                  </w:r>
                </w:p>
                <w:p w:rsidR="00D21464" w:rsidRPr="001A6D49" w:rsidRDefault="00D21464" w:rsidP="0005241F">
                  <w:pPr>
                    <w:jc w:val="center"/>
                    <w:rPr>
                      <w:rFonts w:ascii="Times New Roman" w:hAnsi="Times New Roman" w:cs="Times New Roman"/>
                    </w:rPr>
                  </w:pPr>
                </w:p>
              </w:tc>
            </w:tr>
            <w:tr w:rsidR="00D21464" w:rsidRPr="001A6D49" w:rsidTr="005F590C">
              <w:tc>
                <w:tcPr>
                  <w:tcW w:w="625" w:type="pct"/>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hideMark/>
                </w:tcPr>
                <w:p w:rsidR="00D21464" w:rsidRPr="001A6D49" w:rsidRDefault="00D21464" w:rsidP="0005241F">
                  <w:pPr>
                    <w:jc w:val="center"/>
                    <w:rPr>
                      <w:rFonts w:ascii="Times New Roman" w:hAnsi="Times New Roman" w:cs="Times New Roman"/>
                    </w:rPr>
                  </w:pPr>
                  <w:r w:rsidRPr="001A6D49">
                    <w:rPr>
                      <w:rFonts w:ascii="Times New Roman" w:hAnsi="Times New Roman" w:cs="Times New Roman"/>
                    </w:rPr>
                    <w:t>Kodu</w:t>
                  </w:r>
                </w:p>
              </w:tc>
              <w:tc>
                <w:tcPr>
                  <w:tcW w:w="6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D21464" w:rsidRPr="001A6D49" w:rsidRDefault="00D21464" w:rsidP="0005241F">
                  <w:pPr>
                    <w:jc w:val="center"/>
                    <w:rPr>
                      <w:rFonts w:ascii="Times New Roman" w:hAnsi="Times New Roman" w:cs="Times New Roman"/>
                    </w:rPr>
                  </w:pPr>
                  <w:r w:rsidRPr="001A6D49">
                    <w:rPr>
                      <w:rFonts w:ascii="Times New Roman" w:hAnsi="Times New Roman" w:cs="Times New Roman"/>
                    </w:rPr>
                    <w:t>Adı</w:t>
                  </w:r>
                </w:p>
              </w:tc>
              <w:tc>
                <w:tcPr>
                  <w:tcW w:w="44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D21464" w:rsidRPr="001A6D49" w:rsidRDefault="00D21464" w:rsidP="0005241F">
                  <w:pPr>
                    <w:jc w:val="center"/>
                    <w:rPr>
                      <w:rFonts w:ascii="Times New Roman" w:hAnsi="Times New Roman" w:cs="Times New Roman"/>
                    </w:rPr>
                  </w:pPr>
                  <w:r>
                    <w:rPr>
                      <w:rFonts w:ascii="Times New Roman" w:hAnsi="Times New Roman" w:cs="Times New Roman"/>
                    </w:rPr>
                    <w:t>AKTS</w:t>
                  </w:r>
                </w:p>
              </w:tc>
              <w:tc>
                <w:tcPr>
                  <w:tcW w:w="46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hideMark/>
                </w:tcPr>
                <w:p w:rsidR="00D21464" w:rsidRPr="001A6D49" w:rsidRDefault="00D21464" w:rsidP="0005241F">
                  <w:pPr>
                    <w:jc w:val="center"/>
                    <w:rPr>
                      <w:rFonts w:ascii="Times New Roman" w:hAnsi="Times New Roman" w:cs="Times New Roman"/>
                    </w:rPr>
                  </w:pPr>
                  <w:r w:rsidRPr="001A6D49">
                    <w:rPr>
                      <w:rFonts w:ascii="Times New Roman" w:hAnsi="Times New Roman" w:cs="Times New Roman"/>
                    </w:rPr>
                    <w:t>Not</w:t>
                  </w:r>
                </w:p>
              </w:tc>
              <w:tc>
                <w:tcPr>
                  <w:tcW w:w="542" w:type="pct"/>
                  <w:tcBorders>
                    <w:top w:val="single" w:sz="6" w:space="0" w:color="auto"/>
                    <w:left w:val="thickThinSmallGap" w:sz="24" w:space="0" w:color="auto"/>
                    <w:bottom w:val="single" w:sz="6" w:space="0" w:color="auto"/>
                    <w:right w:val="single" w:sz="6" w:space="0" w:color="auto"/>
                  </w:tcBorders>
                  <w:tcMar>
                    <w:top w:w="0" w:type="dxa"/>
                    <w:left w:w="108" w:type="dxa"/>
                    <w:bottom w:w="0" w:type="dxa"/>
                    <w:right w:w="108" w:type="dxa"/>
                  </w:tcMar>
                  <w:hideMark/>
                </w:tcPr>
                <w:p w:rsidR="00D21464" w:rsidRPr="001A6D49" w:rsidRDefault="00D21464" w:rsidP="0005241F">
                  <w:pPr>
                    <w:jc w:val="center"/>
                    <w:rPr>
                      <w:rFonts w:ascii="Times New Roman" w:hAnsi="Times New Roman" w:cs="Times New Roman"/>
                    </w:rPr>
                  </w:pPr>
                  <w:r w:rsidRPr="001A6D49">
                    <w:rPr>
                      <w:rFonts w:ascii="Times New Roman" w:hAnsi="Times New Roman" w:cs="Times New Roman"/>
                    </w:rPr>
                    <w:t>Kodu</w:t>
                  </w:r>
                </w:p>
              </w:tc>
              <w:tc>
                <w:tcPr>
                  <w:tcW w:w="85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D21464" w:rsidRPr="001A6D49" w:rsidRDefault="00D21464" w:rsidP="0005241F">
                  <w:pPr>
                    <w:jc w:val="center"/>
                    <w:rPr>
                      <w:rFonts w:ascii="Times New Roman" w:hAnsi="Times New Roman" w:cs="Times New Roman"/>
                    </w:rPr>
                  </w:pPr>
                  <w:r w:rsidRPr="001A6D49">
                    <w:rPr>
                      <w:rFonts w:ascii="Times New Roman" w:hAnsi="Times New Roman" w:cs="Times New Roman"/>
                    </w:rPr>
                    <w:t>Adı</w:t>
                  </w:r>
                </w:p>
              </w:tc>
              <w:tc>
                <w:tcPr>
                  <w:tcW w:w="3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D21464" w:rsidRPr="001A6D49" w:rsidRDefault="00D21464" w:rsidP="0005241F">
                  <w:pPr>
                    <w:jc w:val="center"/>
                    <w:rPr>
                      <w:rFonts w:ascii="Times New Roman" w:hAnsi="Times New Roman" w:cs="Times New Roman"/>
                    </w:rPr>
                  </w:pPr>
                  <w:r>
                    <w:rPr>
                      <w:rFonts w:ascii="Times New Roman" w:hAnsi="Times New Roman" w:cs="Times New Roman"/>
                    </w:rPr>
                    <w:t>AKTS</w:t>
                  </w:r>
                </w:p>
              </w:tc>
              <w:tc>
                <w:tcPr>
                  <w:tcW w:w="52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hideMark/>
                </w:tcPr>
                <w:p w:rsidR="00D21464" w:rsidRPr="00746519" w:rsidRDefault="00D21464" w:rsidP="0005241F">
                  <w:pPr>
                    <w:jc w:val="center"/>
                    <w:rPr>
                      <w:rFonts w:ascii="Times New Roman" w:hAnsi="Times New Roman" w:cs="Times New Roman"/>
                      <w:b/>
                    </w:rPr>
                  </w:pPr>
                  <w:r w:rsidRPr="00746519">
                    <w:rPr>
                      <w:rFonts w:ascii="Times New Roman" w:hAnsi="Times New Roman" w:cs="Times New Roman"/>
                      <w:b/>
                    </w:rPr>
                    <w:t>*Not</w:t>
                  </w:r>
                </w:p>
              </w:tc>
              <w:tc>
                <w:tcPr>
                  <w:tcW w:w="527" w:type="pct"/>
                  <w:tcBorders>
                    <w:top w:val="single" w:sz="6" w:space="0" w:color="auto"/>
                    <w:left w:val="single" w:sz="6" w:space="0" w:color="auto"/>
                    <w:bottom w:val="single" w:sz="6" w:space="0" w:color="auto"/>
                    <w:right w:val="thickThinSmallGap" w:sz="24" w:space="0" w:color="auto"/>
                  </w:tcBorders>
                </w:tcPr>
                <w:p w:rsidR="00D21464" w:rsidRPr="00D21464" w:rsidRDefault="009F547E" w:rsidP="0005241F">
                  <w:pPr>
                    <w:jc w:val="center"/>
                    <w:rPr>
                      <w:rFonts w:ascii="Times New Roman" w:hAnsi="Times New Roman" w:cs="Times New Roman"/>
                      <w:b/>
                    </w:rPr>
                  </w:pPr>
                  <w:r>
                    <w:rPr>
                      <w:rFonts w:ascii="Times New Roman" w:hAnsi="Times New Roman" w:cs="Times New Roman"/>
                      <w:b/>
                    </w:rPr>
                    <w:t>**</w:t>
                  </w:r>
                  <w:r w:rsidR="00D21464" w:rsidRPr="00D21464">
                    <w:rPr>
                      <w:rFonts w:ascii="Times New Roman" w:hAnsi="Times New Roman" w:cs="Times New Roman"/>
                      <w:b/>
                    </w:rPr>
                    <w:t>(S/M)</w:t>
                  </w:r>
                </w:p>
              </w:tc>
            </w:tr>
            <w:tr w:rsidR="00D21464" w:rsidRPr="001A6D49" w:rsidTr="005F590C">
              <w:tc>
                <w:tcPr>
                  <w:tcW w:w="625" w:type="pct"/>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6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44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46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542" w:type="pct"/>
                  <w:tcBorders>
                    <w:top w:val="single" w:sz="6" w:space="0" w:color="auto"/>
                    <w:left w:val="thickThinSmallGap" w:sz="24"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85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3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527" w:type="pct"/>
                  <w:tcBorders>
                    <w:top w:val="single" w:sz="6" w:space="0" w:color="auto"/>
                    <w:left w:val="single" w:sz="6" w:space="0" w:color="auto"/>
                    <w:bottom w:val="single" w:sz="6" w:space="0" w:color="auto"/>
                    <w:right w:val="thickThinSmallGap" w:sz="24" w:space="0" w:color="auto"/>
                  </w:tcBorders>
                </w:tcPr>
                <w:p w:rsidR="00D21464" w:rsidRPr="001A6D49" w:rsidRDefault="00D21464" w:rsidP="0005241F">
                  <w:pPr>
                    <w:jc w:val="center"/>
                    <w:rPr>
                      <w:rFonts w:ascii="Times New Roman" w:hAnsi="Times New Roman" w:cs="Times New Roman"/>
                    </w:rPr>
                  </w:pPr>
                </w:p>
              </w:tc>
            </w:tr>
            <w:tr w:rsidR="00D21464" w:rsidRPr="001A6D49" w:rsidTr="005F590C">
              <w:tc>
                <w:tcPr>
                  <w:tcW w:w="625" w:type="pct"/>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6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44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46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542" w:type="pct"/>
                  <w:tcBorders>
                    <w:top w:val="single" w:sz="6" w:space="0" w:color="auto"/>
                    <w:left w:val="thickThinSmallGap" w:sz="24"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85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3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527" w:type="pct"/>
                  <w:tcBorders>
                    <w:top w:val="single" w:sz="6" w:space="0" w:color="auto"/>
                    <w:left w:val="single" w:sz="6" w:space="0" w:color="auto"/>
                    <w:bottom w:val="single" w:sz="6" w:space="0" w:color="auto"/>
                    <w:right w:val="thickThinSmallGap" w:sz="24" w:space="0" w:color="auto"/>
                  </w:tcBorders>
                </w:tcPr>
                <w:p w:rsidR="00D21464" w:rsidRPr="001A6D49" w:rsidRDefault="00D21464" w:rsidP="0005241F">
                  <w:pPr>
                    <w:jc w:val="center"/>
                    <w:rPr>
                      <w:rFonts w:ascii="Times New Roman" w:hAnsi="Times New Roman" w:cs="Times New Roman"/>
                    </w:rPr>
                  </w:pPr>
                </w:p>
              </w:tc>
            </w:tr>
            <w:tr w:rsidR="00D21464" w:rsidRPr="001A6D49" w:rsidTr="005F590C">
              <w:tc>
                <w:tcPr>
                  <w:tcW w:w="625" w:type="pct"/>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6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44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46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542" w:type="pct"/>
                  <w:tcBorders>
                    <w:top w:val="single" w:sz="6" w:space="0" w:color="auto"/>
                    <w:left w:val="thickThinSmallGap" w:sz="24"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85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3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527" w:type="pct"/>
                  <w:tcBorders>
                    <w:top w:val="single" w:sz="6" w:space="0" w:color="auto"/>
                    <w:left w:val="single" w:sz="6" w:space="0" w:color="auto"/>
                    <w:bottom w:val="single" w:sz="6" w:space="0" w:color="auto"/>
                    <w:right w:val="thickThinSmallGap" w:sz="24" w:space="0" w:color="auto"/>
                  </w:tcBorders>
                </w:tcPr>
                <w:p w:rsidR="00D21464" w:rsidRPr="001A6D49" w:rsidRDefault="00D21464" w:rsidP="0005241F">
                  <w:pPr>
                    <w:jc w:val="center"/>
                    <w:rPr>
                      <w:rFonts w:ascii="Times New Roman" w:hAnsi="Times New Roman" w:cs="Times New Roman"/>
                    </w:rPr>
                  </w:pPr>
                </w:p>
              </w:tc>
            </w:tr>
            <w:tr w:rsidR="009F547E" w:rsidRPr="001A6D49" w:rsidTr="005F590C">
              <w:tc>
                <w:tcPr>
                  <w:tcW w:w="625" w:type="pct"/>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6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4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6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42" w:type="pct"/>
                  <w:tcBorders>
                    <w:top w:val="single" w:sz="6" w:space="0" w:color="auto"/>
                    <w:left w:val="thickThinSmallGap" w:sz="24"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85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3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7" w:type="pct"/>
                  <w:tcBorders>
                    <w:top w:val="single" w:sz="6" w:space="0" w:color="auto"/>
                    <w:left w:val="single" w:sz="6" w:space="0" w:color="auto"/>
                    <w:bottom w:val="single" w:sz="6" w:space="0" w:color="auto"/>
                    <w:right w:val="thickThinSmallGap" w:sz="24" w:space="0" w:color="auto"/>
                  </w:tcBorders>
                </w:tcPr>
                <w:p w:rsidR="009F547E" w:rsidRPr="001A6D49" w:rsidRDefault="009F547E" w:rsidP="0005241F">
                  <w:pPr>
                    <w:jc w:val="center"/>
                    <w:rPr>
                      <w:rFonts w:ascii="Times New Roman" w:hAnsi="Times New Roman" w:cs="Times New Roman"/>
                    </w:rPr>
                  </w:pPr>
                </w:p>
              </w:tc>
            </w:tr>
            <w:tr w:rsidR="009F547E" w:rsidRPr="001A6D49" w:rsidTr="005F590C">
              <w:tc>
                <w:tcPr>
                  <w:tcW w:w="625" w:type="pct"/>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6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4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6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42" w:type="pct"/>
                  <w:tcBorders>
                    <w:top w:val="single" w:sz="6" w:space="0" w:color="auto"/>
                    <w:left w:val="thickThinSmallGap" w:sz="24"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85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3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7" w:type="pct"/>
                  <w:tcBorders>
                    <w:top w:val="single" w:sz="6" w:space="0" w:color="auto"/>
                    <w:left w:val="single" w:sz="6" w:space="0" w:color="auto"/>
                    <w:bottom w:val="single" w:sz="6" w:space="0" w:color="auto"/>
                    <w:right w:val="thickThinSmallGap" w:sz="24" w:space="0" w:color="auto"/>
                  </w:tcBorders>
                </w:tcPr>
                <w:p w:rsidR="009F547E" w:rsidRPr="001A6D49" w:rsidRDefault="009F547E" w:rsidP="0005241F">
                  <w:pPr>
                    <w:jc w:val="center"/>
                    <w:rPr>
                      <w:rFonts w:ascii="Times New Roman" w:hAnsi="Times New Roman" w:cs="Times New Roman"/>
                    </w:rPr>
                  </w:pPr>
                </w:p>
              </w:tc>
            </w:tr>
            <w:tr w:rsidR="009F547E" w:rsidRPr="001A6D49" w:rsidTr="005F590C">
              <w:tc>
                <w:tcPr>
                  <w:tcW w:w="625" w:type="pct"/>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6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4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6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42" w:type="pct"/>
                  <w:tcBorders>
                    <w:top w:val="single" w:sz="6" w:space="0" w:color="auto"/>
                    <w:left w:val="thickThinSmallGap" w:sz="24"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85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3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7" w:type="pct"/>
                  <w:tcBorders>
                    <w:top w:val="single" w:sz="6" w:space="0" w:color="auto"/>
                    <w:left w:val="single" w:sz="6" w:space="0" w:color="auto"/>
                    <w:bottom w:val="single" w:sz="6" w:space="0" w:color="auto"/>
                    <w:right w:val="thickThinSmallGap" w:sz="24" w:space="0" w:color="auto"/>
                  </w:tcBorders>
                </w:tcPr>
                <w:p w:rsidR="009F547E" w:rsidRPr="001A6D49" w:rsidRDefault="009F547E" w:rsidP="0005241F">
                  <w:pPr>
                    <w:jc w:val="center"/>
                    <w:rPr>
                      <w:rFonts w:ascii="Times New Roman" w:hAnsi="Times New Roman" w:cs="Times New Roman"/>
                    </w:rPr>
                  </w:pPr>
                </w:p>
              </w:tc>
            </w:tr>
            <w:tr w:rsidR="009F547E" w:rsidRPr="001A6D49" w:rsidTr="005F590C">
              <w:tc>
                <w:tcPr>
                  <w:tcW w:w="625" w:type="pct"/>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6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4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6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42" w:type="pct"/>
                  <w:tcBorders>
                    <w:top w:val="single" w:sz="6" w:space="0" w:color="auto"/>
                    <w:left w:val="thickThinSmallGap" w:sz="24"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85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3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7" w:type="pct"/>
                  <w:tcBorders>
                    <w:top w:val="single" w:sz="6" w:space="0" w:color="auto"/>
                    <w:left w:val="single" w:sz="6" w:space="0" w:color="auto"/>
                    <w:bottom w:val="single" w:sz="6" w:space="0" w:color="auto"/>
                    <w:right w:val="thickThinSmallGap" w:sz="24" w:space="0" w:color="auto"/>
                  </w:tcBorders>
                </w:tcPr>
                <w:p w:rsidR="009F547E" w:rsidRPr="001A6D49" w:rsidRDefault="009F547E" w:rsidP="0005241F">
                  <w:pPr>
                    <w:jc w:val="center"/>
                    <w:rPr>
                      <w:rFonts w:ascii="Times New Roman" w:hAnsi="Times New Roman" w:cs="Times New Roman"/>
                    </w:rPr>
                  </w:pPr>
                </w:p>
              </w:tc>
            </w:tr>
            <w:tr w:rsidR="009F547E" w:rsidRPr="001A6D49" w:rsidTr="005F590C">
              <w:tc>
                <w:tcPr>
                  <w:tcW w:w="625" w:type="pct"/>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6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4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6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42" w:type="pct"/>
                  <w:tcBorders>
                    <w:top w:val="single" w:sz="6" w:space="0" w:color="auto"/>
                    <w:left w:val="thickThinSmallGap" w:sz="24"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85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3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7" w:type="pct"/>
                  <w:tcBorders>
                    <w:top w:val="single" w:sz="6" w:space="0" w:color="auto"/>
                    <w:left w:val="single" w:sz="6" w:space="0" w:color="auto"/>
                    <w:bottom w:val="single" w:sz="6" w:space="0" w:color="auto"/>
                    <w:right w:val="thickThinSmallGap" w:sz="24" w:space="0" w:color="auto"/>
                  </w:tcBorders>
                </w:tcPr>
                <w:p w:rsidR="009F547E" w:rsidRPr="001A6D49" w:rsidRDefault="009F547E" w:rsidP="0005241F">
                  <w:pPr>
                    <w:jc w:val="center"/>
                    <w:rPr>
                      <w:rFonts w:ascii="Times New Roman" w:hAnsi="Times New Roman" w:cs="Times New Roman"/>
                    </w:rPr>
                  </w:pPr>
                </w:p>
              </w:tc>
            </w:tr>
            <w:tr w:rsidR="009F547E" w:rsidRPr="001A6D49" w:rsidTr="005F590C">
              <w:tc>
                <w:tcPr>
                  <w:tcW w:w="625" w:type="pct"/>
                  <w:tcBorders>
                    <w:top w:val="single" w:sz="6" w:space="0" w:color="auto"/>
                    <w:left w:val="thinThickSmallGap" w:sz="24" w:space="0" w:color="auto"/>
                    <w:bottom w:val="thickThinSmallGap" w:sz="24"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625" w:type="pct"/>
                  <w:tcBorders>
                    <w:top w:val="single" w:sz="6" w:space="0" w:color="auto"/>
                    <w:left w:val="single" w:sz="6" w:space="0" w:color="auto"/>
                    <w:bottom w:val="thickThinSmallGap" w:sz="24"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42" w:type="pct"/>
                  <w:tcBorders>
                    <w:top w:val="single" w:sz="6" w:space="0" w:color="auto"/>
                    <w:left w:val="single" w:sz="6" w:space="0" w:color="auto"/>
                    <w:bottom w:val="thickThinSmallGap" w:sz="24"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66" w:type="pct"/>
                  <w:tcBorders>
                    <w:top w:val="single" w:sz="6" w:space="0" w:color="auto"/>
                    <w:left w:val="single" w:sz="6" w:space="0" w:color="auto"/>
                    <w:bottom w:val="thickThinSmallGap" w:sz="24"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42" w:type="pct"/>
                  <w:tcBorders>
                    <w:top w:val="single" w:sz="6" w:space="0" w:color="auto"/>
                    <w:left w:val="thickThinSmallGap" w:sz="24" w:space="0" w:color="auto"/>
                    <w:bottom w:val="thickThinSmallGap" w:sz="24"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856" w:type="pct"/>
                  <w:tcBorders>
                    <w:top w:val="single" w:sz="6" w:space="0" w:color="auto"/>
                    <w:left w:val="single" w:sz="6" w:space="0" w:color="auto"/>
                    <w:bottom w:val="thickThinSmallGap" w:sz="24"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391" w:type="pct"/>
                  <w:tcBorders>
                    <w:top w:val="single" w:sz="6" w:space="0" w:color="auto"/>
                    <w:left w:val="single" w:sz="6" w:space="0" w:color="auto"/>
                    <w:bottom w:val="thickThinSmallGap" w:sz="24"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6" w:type="pct"/>
                  <w:tcBorders>
                    <w:top w:val="single" w:sz="6" w:space="0" w:color="auto"/>
                    <w:left w:val="single" w:sz="6" w:space="0" w:color="auto"/>
                    <w:bottom w:val="thickThinSmallGap" w:sz="24"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7" w:type="pct"/>
                  <w:tcBorders>
                    <w:top w:val="single" w:sz="6" w:space="0" w:color="auto"/>
                    <w:left w:val="single" w:sz="6" w:space="0" w:color="auto"/>
                    <w:bottom w:val="thickThinSmallGap" w:sz="24" w:space="0" w:color="auto"/>
                    <w:right w:val="thickThinSmallGap" w:sz="24" w:space="0" w:color="auto"/>
                  </w:tcBorders>
                </w:tcPr>
                <w:p w:rsidR="009F547E" w:rsidRPr="001A6D49" w:rsidRDefault="009F547E" w:rsidP="0005241F">
                  <w:pPr>
                    <w:jc w:val="center"/>
                    <w:rPr>
                      <w:rFonts w:ascii="Times New Roman" w:hAnsi="Times New Roman" w:cs="Times New Roman"/>
                    </w:rPr>
                  </w:pPr>
                </w:p>
              </w:tc>
            </w:tr>
          </w:tbl>
          <w:p w:rsidR="003F7BEF" w:rsidRDefault="003F7BEF" w:rsidP="0005241F">
            <w:pPr>
              <w:spacing w:after="0" w:line="240" w:lineRule="auto"/>
              <w:jc w:val="both"/>
              <w:rPr>
                <w:rFonts w:ascii="Times New Roman" w:eastAsia="Times New Roman" w:hAnsi="Times New Roman" w:cs="Times New Roman"/>
                <w:b/>
              </w:rPr>
            </w:pPr>
          </w:p>
          <w:p w:rsidR="003F7BEF" w:rsidRPr="003F7BEF" w:rsidRDefault="003F7BEF" w:rsidP="003F7BEF">
            <w:pPr>
              <w:spacing w:after="0" w:line="240" w:lineRule="auto"/>
              <w:jc w:val="both"/>
              <w:rPr>
                <w:rFonts w:ascii="Times New Roman" w:eastAsia="Times New Roman" w:hAnsi="Times New Roman" w:cs="Times New Roman"/>
                <w:sz w:val="18"/>
                <w:szCs w:val="18"/>
              </w:rPr>
            </w:pPr>
            <w:r w:rsidRPr="003F7BEF">
              <w:rPr>
                <w:rFonts w:ascii="Times New Roman" w:eastAsia="Times New Roman" w:hAnsi="Times New Roman" w:cs="Times New Roman"/>
                <w:b/>
                <w:sz w:val="18"/>
                <w:szCs w:val="18"/>
              </w:rPr>
              <w:t xml:space="preserve">Not: </w:t>
            </w:r>
            <w:r w:rsidRPr="003F7BEF">
              <w:rPr>
                <w:rFonts w:ascii="Times New Roman" w:eastAsia="Times New Roman" w:hAnsi="Times New Roman" w:cs="Times New Roman"/>
                <w:sz w:val="18"/>
                <w:szCs w:val="18"/>
              </w:rPr>
              <w:t>1.</w:t>
            </w:r>
            <w:r w:rsidRPr="003F7BEF">
              <w:rPr>
                <w:rFonts w:ascii="Times New Roman" w:eastAsia="Times New Roman" w:hAnsi="Times New Roman" w:cs="Times New Roman"/>
                <w:b/>
                <w:sz w:val="18"/>
                <w:szCs w:val="18"/>
              </w:rPr>
              <w:t xml:space="preserve"> </w:t>
            </w:r>
            <w:r w:rsidRPr="003F7BEF">
              <w:rPr>
                <w:rFonts w:ascii="Times New Roman" w:eastAsia="Times New Roman" w:hAnsi="Times New Roman" w:cs="Times New Roman"/>
                <w:sz w:val="18"/>
                <w:szCs w:val="18"/>
              </w:rPr>
              <w:t>* Bu kısım Anabilim dalı tarafından doldurulacaktır.</w:t>
            </w:r>
          </w:p>
          <w:p w:rsidR="003F7BEF" w:rsidRPr="003F7BEF" w:rsidRDefault="003F7BEF" w:rsidP="003F7BEF">
            <w:pPr>
              <w:spacing w:after="0" w:line="240" w:lineRule="auto"/>
              <w:jc w:val="both"/>
              <w:rPr>
                <w:rFonts w:ascii="Times New Roman" w:eastAsia="Times New Roman" w:hAnsi="Times New Roman" w:cs="Times New Roman"/>
                <w:sz w:val="18"/>
                <w:szCs w:val="18"/>
              </w:rPr>
            </w:pPr>
            <w:r w:rsidRPr="003F7BEF">
              <w:rPr>
                <w:rFonts w:ascii="Times New Roman" w:eastAsia="Times New Roman" w:hAnsi="Times New Roman" w:cs="Times New Roman"/>
                <w:sz w:val="18"/>
                <w:szCs w:val="18"/>
              </w:rPr>
              <w:t xml:space="preserve">         2. *</w:t>
            </w:r>
            <w:r w:rsidRPr="003F7BEF">
              <w:rPr>
                <w:rFonts w:ascii="Times New Roman" w:eastAsia="Times New Roman" w:hAnsi="Times New Roman" w:cs="Times New Roman"/>
                <w:b/>
                <w:sz w:val="18"/>
                <w:szCs w:val="18"/>
              </w:rPr>
              <w:t>*</w:t>
            </w:r>
            <w:r w:rsidRPr="003F7BEF">
              <w:rPr>
                <w:rFonts w:ascii="Times New Roman" w:eastAsia="Times New Roman" w:hAnsi="Times New Roman" w:cs="Times New Roman"/>
                <w:sz w:val="18"/>
                <w:szCs w:val="18"/>
              </w:rPr>
              <w:t xml:space="preserve"> Bu kısımda belirttiğiniz derslerle ilgili kararınızı </w:t>
            </w:r>
            <w:r w:rsidRPr="003F7BEF">
              <w:rPr>
                <w:rFonts w:ascii="Times New Roman" w:eastAsia="Times New Roman" w:hAnsi="Times New Roman" w:cs="Times New Roman"/>
                <w:b/>
                <w:sz w:val="18"/>
                <w:szCs w:val="18"/>
              </w:rPr>
              <w:t xml:space="preserve">“M” veya “S” </w:t>
            </w:r>
            <w:r w:rsidRPr="003F7BEF">
              <w:rPr>
                <w:rFonts w:ascii="Times New Roman" w:eastAsia="Times New Roman" w:hAnsi="Times New Roman" w:cs="Times New Roman"/>
                <w:sz w:val="18"/>
                <w:szCs w:val="18"/>
              </w:rPr>
              <w:t>şeklinde</w:t>
            </w:r>
            <w:r w:rsidRPr="003F7BEF">
              <w:rPr>
                <w:rFonts w:ascii="Times New Roman" w:eastAsia="Times New Roman" w:hAnsi="Times New Roman" w:cs="Times New Roman"/>
                <w:b/>
                <w:sz w:val="18"/>
                <w:szCs w:val="18"/>
              </w:rPr>
              <w:t xml:space="preserve"> </w:t>
            </w:r>
            <w:r w:rsidRPr="003F7BEF">
              <w:rPr>
                <w:rFonts w:ascii="Times New Roman" w:eastAsia="Times New Roman" w:hAnsi="Times New Roman" w:cs="Times New Roman"/>
                <w:sz w:val="18"/>
                <w:szCs w:val="18"/>
              </w:rPr>
              <w:t>belirtmeniz</w:t>
            </w:r>
            <w:r w:rsidRPr="003F7BEF">
              <w:rPr>
                <w:rFonts w:ascii="Times New Roman" w:eastAsia="Times New Roman" w:hAnsi="Times New Roman" w:cs="Times New Roman"/>
                <w:b/>
                <w:sz w:val="18"/>
                <w:szCs w:val="18"/>
              </w:rPr>
              <w:t xml:space="preserve"> </w:t>
            </w:r>
            <w:r w:rsidRPr="003F7BEF">
              <w:rPr>
                <w:rFonts w:ascii="Times New Roman" w:eastAsia="Times New Roman" w:hAnsi="Times New Roman" w:cs="Times New Roman"/>
                <w:sz w:val="18"/>
                <w:szCs w:val="18"/>
              </w:rPr>
              <w:t xml:space="preserve">gerekmektedir. </w:t>
            </w:r>
          </w:p>
          <w:p w:rsidR="003F7BEF" w:rsidRPr="003F7BEF" w:rsidRDefault="003F7BEF" w:rsidP="003F7BEF">
            <w:pPr>
              <w:spacing w:after="0" w:line="240" w:lineRule="auto"/>
              <w:jc w:val="both"/>
              <w:rPr>
                <w:rFonts w:ascii="Times New Roman" w:eastAsia="Times New Roman" w:hAnsi="Times New Roman" w:cs="Times New Roman"/>
                <w:sz w:val="18"/>
                <w:szCs w:val="18"/>
              </w:rPr>
            </w:pPr>
            <w:r w:rsidRPr="003F7BEF">
              <w:rPr>
                <w:rFonts w:ascii="Times New Roman" w:eastAsia="Times New Roman" w:hAnsi="Times New Roman" w:cs="Times New Roman"/>
                <w:sz w:val="18"/>
                <w:szCs w:val="18"/>
              </w:rPr>
              <w:t xml:space="preserve">         3. *** Öğrencinin hangi yarıyıldan başlayacağına aşağıdaki şekilde karar verilmesi önerilir.</w:t>
            </w:r>
          </w:p>
          <w:p w:rsidR="003F7BEF" w:rsidRPr="003F7BEF" w:rsidRDefault="003F7BEF" w:rsidP="003F7BEF">
            <w:pPr>
              <w:pStyle w:val="ListeParagraf"/>
              <w:spacing w:after="0" w:line="240" w:lineRule="auto"/>
              <w:jc w:val="both"/>
              <w:rPr>
                <w:rFonts w:ascii="Times New Roman" w:eastAsia="Times New Roman" w:hAnsi="Times New Roman" w:cs="Times New Roman"/>
                <w:sz w:val="18"/>
                <w:szCs w:val="18"/>
              </w:rPr>
            </w:pPr>
            <w:r w:rsidRPr="003F7BEF">
              <w:rPr>
                <w:rFonts w:ascii="Times New Roman" w:eastAsia="Times New Roman" w:hAnsi="Times New Roman" w:cs="Times New Roman"/>
                <w:sz w:val="18"/>
                <w:szCs w:val="18"/>
              </w:rPr>
              <w:t xml:space="preserve">        30 ECTS tamamlayan öğrencinin dönemlik eksik derslerinin tamamlanması koşuluyla 2. yarıyıldan</w:t>
            </w:r>
          </w:p>
          <w:p w:rsidR="003F7BEF" w:rsidRPr="003F7BEF" w:rsidRDefault="003F7BEF" w:rsidP="003F7BEF">
            <w:pPr>
              <w:pStyle w:val="ListeParagraf"/>
              <w:spacing w:after="0" w:line="240" w:lineRule="auto"/>
              <w:jc w:val="both"/>
              <w:rPr>
                <w:rFonts w:ascii="Times New Roman" w:eastAsia="Times New Roman" w:hAnsi="Times New Roman" w:cs="Times New Roman"/>
                <w:sz w:val="18"/>
                <w:szCs w:val="18"/>
              </w:rPr>
            </w:pPr>
            <w:r w:rsidRPr="003F7BEF">
              <w:rPr>
                <w:rFonts w:ascii="Times New Roman" w:eastAsia="Times New Roman" w:hAnsi="Times New Roman" w:cs="Times New Roman"/>
                <w:sz w:val="18"/>
                <w:szCs w:val="18"/>
              </w:rPr>
              <w:t xml:space="preserve">          7 Ders (zorunlu ders dâhil) ve Seminer ders</w:t>
            </w:r>
            <w:r w:rsidR="002C192F">
              <w:rPr>
                <w:rFonts w:ascii="Times New Roman" w:eastAsia="Times New Roman" w:hAnsi="Times New Roman" w:cs="Times New Roman"/>
                <w:sz w:val="18"/>
                <w:szCs w:val="18"/>
              </w:rPr>
              <w:t>inin tamamlanması koşuluyla 3. y</w:t>
            </w:r>
            <w:r w:rsidRPr="003F7BEF">
              <w:rPr>
                <w:rFonts w:ascii="Times New Roman" w:eastAsia="Times New Roman" w:hAnsi="Times New Roman" w:cs="Times New Roman"/>
                <w:sz w:val="18"/>
                <w:szCs w:val="18"/>
              </w:rPr>
              <w:t>arıyıldan</w:t>
            </w:r>
          </w:p>
          <w:p w:rsidR="003F7BEF" w:rsidRDefault="003F7BEF" w:rsidP="003F7BEF">
            <w:pPr>
              <w:spacing w:after="0" w:line="240" w:lineRule="auto"/>
              <w:jc w:val="both"/>
              <w:rPr>
                <w:rFonts w:ascii="Times New Roman" w:eastAsia="Times New Roman" w:hAnsi="Times New Roman" w:cs="Times New Roman"/>
                <w:sz w:val="18"/>
                <w:szCs w:val="18"/>
              </w:rPr>
            </w:pPr>
            <w:r w:rsidRPr="003F7BEF">
              <w:rPr>
                <w:rFonts w:ascii="Times New Roman" w:eastAsia="Times New Roman" w:hAnsi="Times New Roman" w:cs="Times New Roman"/>
                <w:sz w:val="18"/>
                <w:szCs w:val="18"/>
              </w:rPr>
              <w:t xml:space="preserve">         4.</w:t>
            </w:r>
            <w:r w:rsidRPr="002C0204">
              <w:rPr>
                <w:rFonts w:ascii="Times New Roman" w:eastAsia="Times New Roman" w:hAnsi="Times New Roman" w:cs="Times New Roman"/>
                <w:sz w:val="18"/>
                <w:szCs w:val="18"/>
              </w:rPr>
              <w:t xml:space="preserve"> Öğrencinin tez çalışması dersinden muaf olabilmesi için ilgili mevzuatta belirtilen hususlara dikkat etmesi gerekir. Öğrenci belirtilen hususları sağlıyorsa ve tez çalışmasından muaf olmak istiyorsa “Tez Öneri Formu” ile önceki danışman ya da danışmanların onayının alındığına dair belgenin de bu formla birlikte gönderilmesi gerekmektedir.</w:t>
            </w:r>
            <w:r w:rsidR="0025411E">
              <w:rPr>
                <w:rFonts w:ascii="Times New Roman" w:eastAsia="Times New Roman" w:hAnsi="Times New Roman" w:cs="Times New Roman"/>
                <w:sz w:val="18"/>
                <w:szCs w:val="18"/>
              </w:rPr>
              <w:t xml:space="preserve"> Daha önceden alınan </w:t>
            </w:r>
            <w:r w:rsidR="0025411E" w:rsidRPr="002C0204">
              <w:rPr>
                <w:rFonts w:ascii="Times New Roman" w:eastAsia="Times New Roman" w:hAnsi="Times New Roman" w:cs="Times New Roman"/>
                <w:sz w:val="18"/>
                <w:szCs w:val="18"/>
              </w:rPr>
              <w:t>Tez Öneri</w:t>
            </w:r>
            <w:r w:rsidR="0025411E">
              <w:rPr>
                <w:rFonts w:ascii="Times New Roman" w:eastAsia="Times New Roman" w:hAnsi="Times New Roman" w:cs="Times New Roman"/>
                <w:sz w:val="18"/>
                <w:szCs w:val="18"/>
              </w:rPr>
              <w:t xml:space="preserve"> Formu ve ekleri yeniden hazırlanmalıdır.</w:t>
            </w:r>
          </w:p>
          <w:p w:rsidR="0025411E" w:rsidRPr="003F7BEF" w:rsidRDefault="0025411E" w:rsidP="003F7BEF">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3F7BEF" w:rsidRPr="00357F99" w:rsidRDefault="003F7BEF" w:rsidP="003F7BEF">
            <w:pPr>
              <w:spacing w:after="0" w:line="240" w:lineRule="auto"/>
              <w:jc w:val="both"/>
              <w:rPr>
                <w:rFonts w:ascii="Times New Roman" w:eastAsia="Times New Roman" w:hAnsi="Times New Roman" w:cs="Times New Roman"/>
                <w:sz w:val="18"/>
                <w:szCs w:val="18"/>
              </w:rPr>
            </w:pPr>
            <w:r w:rsidRPr="00357F99">
              <w:rPr>
                <w:rFonts w:ascii="Times New Roman" w:eastAsia="Times New Roman" w:hAnsi="Times New Roman" w:cs="Times New Roman"/>
                <w:b/>
                <w:sz w:val="18"/>
                <w:szCs w:val="18"/>
              </w:rPr>
              <w:t>S:</w:t>
            </w:r>
            <w:r w:rsidRPr="00357F99">
              <w:rPr>
                <w:rFonts w:ascii="Times New Roman" w:eastAsia="Times New Roman" w:hAnsi="Times New Roman" w:cs="Times New Roman"/>
                <w:sz w:val="18"/>
                <w:szCs w:val="18"/>
              </w:rPr>
              <w:t xml:space="preserve"> Saydırma</w:t>
            </w:r>
            <w:r>
              <w:rPr>
                <w:rFonts w:ascii="Times New Roman" w:eastAsia="Times New Roman" w:hAnsi="Times New Roman" w:cs="Times New Roman"/>
                <w:sz w:val="18"/>
                <w:szCs w:val="18"/>
              </w:rPr>
              <w:t xml:space="preserve">: </w:t>
            </w:r>
            <w:r w:rsidRPr="00357F99">
              <w:rPr>
                <w:rFonts w:ascii="Times New Roman" w:eastAsia="Times New Roman" w:hAnsi="Times New Roman" w:cs="Times New Roman"/>
                <w:sz w:val="18"/>
                <w:szCs w:val="18"/>
              </w:rPr>
              <w:t>Eşdeğer programlar arasında olup ilgili anabilim dalı müfredatında yer almayan</w:t>
            </w:r>
            <w:r>
              <w:rPr>
                <w:rFonts w:ascii="Times New Roman" w:eastAsia="Times New Roman" w:hAnsi="Times New Roman" w:cs="Times New Roman"/>
                <w:sz w:val="18"/>
                <w:szCs w:val="18"/>
              </w:rPr>
              <w:t xml:space="preserve"> (herhangi bir dersle içerik uyumunun olmaması) derslerin eklenmesi müfredata eklenme işlemi</w:t>
            </w:r>
            <w:r w:rsidRPr="00357F99">
              <w:rPr>
                <w:rFonts w:ascii="Times New Roman" w:eastAsia="Times New Roman" w:hAnsi="Times New Roman" w:cs="Times New Roman"/>
                <w:sz w:val="18"/>
                <w:szCs w:val="18"/>
              </w:rPr>
              <w:t xml:space="preserve">       </w:t>
            </w:r>
          </w:p>
          <w:p w:rsidR="003F7BEF" w:rsidRPr="00357F99" w:rsidRDefault="003F7BEF" w:rsidP="003F7BEF">
            <w:pPr>
              <w:spacing w:after="0" w:line="240" w:lineRule="auto"/>
              <w:jc w:val="both"/>
              <w:rPr>
                <w:rFonts w:ascii="Times New Roman" w:eastAsia="Times New Roman" w:hAnsi="Times New Roman" w:cs="Times New Roman"/>
                <w:sz w:val="18"/>
                <w:szCs w:val="18"/>
              </w:rPr>
            </w:pPr>
            <w:r w:rsidRPr="00357F99">
              <w:rPr>
                <w:rFonts w:ascii="Times New Roman" w:eastAsia="Times New Roman" w:hAnsi="Times New Roman" w:cs="Times New Roman"/>
                <w:b/>
                <w:sz w:val="18"/>
                <w:szCs w:val="18"/>
              </w:rPr>
              <w:t>M:</w:t>
            </w:r>
            <w:r w:rsidRPr="00357F99">
              <w:rPr>
                <w:rFonts w:ascii="Times New Roman" w:eastAsia="Times New Roman" w:hAnsi="Times New Roman" w:cs="Times New Roman"/>
                <w:sz w:val="18"/>
                <w:szCs w:val="18"/>
              </w:rPr>
              <w:t xml:space="preserve"> Muaf</w:t>
            </w:r>
            <w:r>
              <w:rPr>
                <w:rFonts w:ascii="Times New Roman" w:eastAsia="Times New Roman" w:hAnsi="Times New Roman" w:cs="Times New Roman"/>
                <w:sz w:val="18"/>
                <w:szCs w:val="18"/>
              </w:rPr>
              <w:t>:</w:t>
            </w:r>
            <w:r w:rsidRPr="00357F99">
              <w:rPr>
                <w:rFonts w:ascii="Times New Roman" w:eastAsia="Times New Roman" w:hAnsi="Times New Roman" w:cs="Times New Roman"/>
                <w:sz w:val="18"/>
                <w:szCs w:val="18"/>
              </w:rPr>
              <w:t xml:space="preserve"> Öğrencinin daha önceden almış olduğu ve başardığı dersin içeriğinin, kayıtlı olduğu programdaki ders içeriğiyle uyumlu olması durumu</w:t>
            </w:r>
          </w:p>
          <w:p w:rsidR="009F547E" w:rsidRDefault="009F547E" w:rsidP="009F547E">
            <w:pPr>
              <w:spacing w:after="0" w:line="240" w:lineRule="auto"/>
              <w:jc w:val="both"/>
              <w:rPr>
                <w:rFonts w:ascii="Times New Roman" w:eastAsia="Times New Roman" w:hAnsi="Times New Roman" w:cs="Times New Roman"/>
              </w:rPr>
            </w:pPr>
          </w:p>
          <w:p w:rsidR="005F590C" w:rsidRDefault="005F590C" w:rsidP="005F590C">
            <w:pPr>
              <w:spacing w:after="0" w:line="240" w:lineRule="auto"/>
              <w:jc w:val="both"/>
              <w:rPr>
                <w:rFonts w:ascii="Times New Roman" w:eastAsia="Times New Roman" w:hAnsi="Times New Roman" w:cs="Times New Roman"/>
              </w:rPr>
            </w:pPr>
          </w:p>
          <w:p w:rsidR="002C0204" w:rsidRDefault="002C0204" w:rsidP="005F590C">
            <w:pPr>
              <w:spacing w:after="0" w:line="240" w:lineRule="auto"/>
              <w:jc w:val="both"/>
              <w:rPr>
                <w:rFonts w:ascii="Times New Roman" w:eastAsia="Times New Roman" w:hAnsi="Times New Roman" w:cs="Times New Roman"/>
                <w:b/>
                <w:sz w:val="18"/>
                <w:szCs w:val="18"/>
              </w:rPr>
            </w:pPr>
          </w:p>
          <w:p w:rsidR="002C0204" w:rsidRDefault="002C0204" w:rsidP="005F590C">
            <w:pPr>
              <w:spacing w:after="0" w:line="240" w:lineRule="auto"/>
              <w:jc w:val="both"/>
              <w:rPr>
                <w:rFonts w:ascii="Times New Roman" w:eastAsia="Times New Roman" w:hAnsi="Times New Roman" w:cs="Times New Roman"/>
                <w:b/>
                <w:sz w:val="18"/>
                <w:szCs w:val="18"/>
              </w:rPr>
            </w:pPr>
          </w:p>
          <w:p w:rsidR="005F590C" w:rsidRDefault="005F590C" w:rsidP="0005241F">
            <w:pPr>
              <w:spacing w:after="0" w:line="240" w:lineRule="auto"/>
              <w:jc w:val="both"/>
              <w:rPr>
                <w:rFonts w:ascii="Times New Roman" w:eastAsia="Times New Roman" w:hAnsi="Times New Roman" w:cs="Times New Roman"/>
                <w:u w:val="single"/>
              </w:rPr>
            </w:pPr>
          </w:p>
          <w:p w:rsidR="00E6476B" w:rsidRPr="000F7DCF" w:rsidRDefault="00E6476B" w:rsidP="0005241F">
            <w:pPr>
              <w:spacing w:after="0" w:line="240" w:lineRule="auto"/>
              <w:jc w:val="both"/>
              <w:rPr>
                <w:rFonts w:ascii="Times New Roman" w:eastAsia="Times New Roman" w:hAnsi="Times New Roman" w:cs="Times New Roman"/>
              </w:rPr>
            </w:pPr>
            <w:r w:rsidRPr="000F7DCF">
              <w:rPr>
                <w:rFonts w:ascii="Times New Roman" w:eastAsia="Times New Roman" w:hAnsi="Times New Roman" w:cs="Times New Roman"/>
              </w:rPr>
              <w:t>EKLER:</w:t>
            </w:r>
          </w:p>
          <w:p w:rsidR="00E6476B" w:rsidRDefault="00E6476B" w:rsidP="0005241F">
            <w:pPr>
              <w:spacing w:after="0" w:line="240" w:lineRule="auto"/>
              <w:jc w:val="both"/>
              <w:rPr>
                <w:rFonts w:ascii="Times New Roman" w:eastAsia="Times New Roman" w:hAnsi="Times New Roman" w:cs="Times New Roman"/>
                <w:bCs/>
              </w:rPr>
            </w:pPr>
            <w:r w:rsidRPr="001A6D49">
              <w:rPr>
                <w:rFonts w:ascii="Times New Roman" w:eastAsia="Times New Roman" w:hAnsi="Times New Roman" w:cs="Times New Roman"/>
                <w:bCs/>
              </w:rPr>
              <w:t xml:space="preserve">1. </w:t>
            </w:r>
            <w:r>
              <w:rPr>
                <w:rFonts w:ascii="Times New Roman" w:eastAsia="Times New Roman" w:hAnsi="Times New Roman" w:cs="Times New Roman"/>
                <w:bCs/>
              </w:rPr>
              <w:t xml:space="preserve">Anabilim </w:t>
            </w:r>
            <w:r w:rsidR="002513F8">
              <w:rPr>
                <w:rFonts w:ascii="Times New Roman" w:eastAsia="Times New Roman" w:hAnsi="Times New Roman" w:cs="Times New Roman"/>
                <w:bCs/>
              </w:rPr>
              <w:t>dalı kurul kararı</w:t>
            </w:r>
          </w:p>
          <w:p w:rsidR="002C0204" w:rsidRDefault="002C0204" w:rsidP="0005241F">
            <w:pPr>
              <w:spacing w:after="0" w:line="240" w:lineRule="auto"/>
              <w:jc w:val="both"/>
              <w:rPr>
                <w:rFonts w:ascii="Times New Roman" w:eastAsia="Times New Roman" w:hAnsi="Times New Roman" w:cs="Times New Roman"/>
                <w:bCs/>
              </w:rPr>
            </w:pPr>
          </w:p>
          <w:p w:rsidR="00E6476B" w:rsidRDefault="00E6476B" w:rsidP="0005241F">
            <w:pPr>
              <w:spacing w:after="0" w:line="240" w:lineRule="auto"/>
              <w:jc w:val="both"/>
              <w:rPr>
                <w:rFonts w:ascii="Times New Roman" w:eastAsia="Times New Roman" w:hAnsi="Times New Roman" w:cs="Times New Roman"/>
              </w:rPr>
            </w:pPr>
          </w:p>
          <w:p w:rsidR="0025411E" w:rsidRDefault="0025411E" w:rsidP="00A03D19">
            <w:pPr>
              <w:spacing w:after="0" w:line="240" w:lineRule="auto"/>
              <w:jc w:val="both"/>
              <w:rPr>
                <w:rFonts w:ascii="Times New Roman" w:eastAsia="Times New Roman" w:hAnsi="Times New Roman" w:cs="Times New Roman"/>
                <w:highlight w:val="yellow"/>
              </w:rPr>
            </w:pPr>
          </w:p>
          <w:p w:rsidR="001524A9" w:rsidRPr="00DD10C0" w:rsidRDefault="005A34ED" w:rsidP="00A03D19">
            <w:pPr>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yellow"/>
              </w:rPr>
              <w:t xml:space="preserve">* Bu form ve eki/ekleri </w:t>
            </w:r>
            <w:r w:rsidR="00A03D19" w:rsidRPr="001524A9">
              <w:rPr>
                <w:rFonts w:ascii="Times New Roman" w:eastAsia="Times New Roman" w:hAnsi="Times New Roman" w:cs="Times New Roman"/>
                <w:highlight w:val="yellow"/>
              </w:rPr>
              <w:t>üst yazıyla birlikte En</w:t>
            </w:r>
            <w:r w:rsidR="00815FFC">
              <w:rPr>
                <w:rFonts w:ascii="Times New Roman" w:eastAsia="Times New Roman" w:hAnsi="Times New Roman" w:cs="Times New Roman"/>
                <w:highlight w:val="yellow"/>
              </w:rPr>
              <w:t>stitü Müdürlüğüne gönderilmelidir</w:t>
            </w:r>
            <w:r w:rsidR="00A03D19" w:rsidRPr="001524A9">
              <w:rPr>
                <w:rFonts w:ascii="Times New Roman" w:eastAsia="Times New Roman" w:hAnsi="Times New Roman" w:cs="Times New Roman"/>
                <w:highlight w:val="yellow"/>
              </w:rPr>
              <w:t>.</w:t>
            </w:r>
          </w:p>
        </w:tc>
      </w:tr>
    </w:tbl>
    <w:p w:rsidR="007924BA" w:rsidRDefault="007924BA" w:rsidP="007924BA">
      <w:pPr>
        <w:pStyle w:val="Balk1"/>
        <w:spacing w:before="120"/>
        <w:ind w:firstLine="708"/>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YOBÜ</w:t>
      </w:r>
      <w:r w:rsidRPr="007924BA">
        <w:rPr>
          <w:rFonts w:ascii="Times New Roman" w:hAnsi="Times New Roman" w:cs="Times New Roman"/>
          <w:color w:val="000000" w:themeColor="text1"/>
          <w:sz w:val="18"/>
          <w:szCs w:val="18"/>
        </w:rPr>
        <w:t xml:space="preserve"> LİSANSÜSTÜ EĞİTİM-ÖĞRETİM SÜRECİ UYGULAMA ESASLARI</w:t>
      </w:r>
    </w:p>
    <w:p w:rsidR="008336C1" w:rsidRPr="007924BA" w:rsidRDefault="008336C1" w:rsidP="007924BA">
      <w:pPr>
        <w:pStyle w:val="Balk1"/>
        <w:spacing w:before="120"/>
        <w:ind w:firstLine="708"/>
        <w:rPr>
          <w:rFonts w:ascii="Times New Roman" w:eastAsia="Times New Roman" w:hAnsi="Times New Roman" w:cs="Times New Roman"/>
          <w:b w:val="0"/>
          <w:color w:val="000000" w:themeColor="text1"/>
          <w:sz w:val="18"/>
          <w:szCs w:val="18"/>
        </w:rPr>
      </w:pPr>
      <w:r w:rsidRPr="007924BA">
        <w:rPr>
          <w:rFonts w:ascii="Times New Roman" w:hAnsi="Times New Roman" w:cs="Times New Roman"/>
          <w:color w:val="000000" w:themeColor="text1"/>
          <w:sz w:val="18"/>
          <w:szCs w:val="18"/>
        </w:rPr>
        <w:t>Ders</w:t>
      </w:r>
      <w:r w:rsidRPr="007924BA">
        <w:rPr>
          <w:rFonts w:ascii="Times New Roman" w:eastAsia="Times New Roman" w:hAnsi="Times New Roman" w:cs="Times New Roman"/>
          <w:color w:val="000000" w:themeColor="text1"/>
          <w:sz w:val="18"/>
          <w:szCs w:val="18"/>
        </w:rPr>
        <w:t xml:space="preserve"> Saydırma ve Muafiyet</w:t>
      </w:r>
      <w:bookmarkEnd w:id="0"/>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b/>
          <w:sz w:val="16"/>
          <w:szCs w:val="16"/>
        </w:rPr>
        <w:t>MADDE 8-</w:t>
      </w:r>
      <w:r w:rsidRPr="009F547E">
        <w:rPr>
          <w:rFonts w:ascii="Times New Roman" w:hAnsi="Times New Roman" w:cs="Times New Roman"/>
          <w:sz w:val="16"/>
          <w:szCs w:val="16"/>
        </w:rPr>
        <w:t xml:space="preserve"> (1) </w:t>
      </w:r>
      <w:r w:rsidRPr="009F547E">
        <w:rPr>
          <w:rFonts w:ascii="Times New Roman" w:eastAsia="Times New Roman" w:hAnsi="Times New Roman" w:cs="Times New Roman"/>
          <w:sz w:val="16"/>
          <w:szCs w:val="16"/>
        </w:rPr>
        <w:t>Öğrencilerin</w:t>
      </w:r>
      <w:r w:rsidRPr="009F547E">
        <w:rPr>
          <w:rFonts w:ascii="Times New Roman" w:hAnsi="Times New Roman" w:cs="Times New Roman"/>
          <w:sz w:val="16"/>
          <w:szCs w:val="16"/>
        </w:rPr>
        <w:t xml:space="preserve"> daha önce öğrenim gördüğü lisansüstü programlarda aldığı ve başarılı olduğu dersler için </w:t>
      </w:r>
      <w:r w:rsidRPr="009F547E">
        <w:rPr>
          <w:rFonts w:ascii="Times New Roman" w:eastAsia="Times New Roman" w:hAnsi="Times New Roman" w:cs="Times New Roman"/>
          <w:sz w:val="16"/>
          <w:szCs w:val="16"/>
        </w:rPr>
        <w:t>muafiyet</w:t>
      </w:r>
      <w:r w:rsidRPr="009F547E">
        <w:rPr>
          <w:rFonts w:ascii="Times New Roman" w:hAnsi="Times New Roman" w:cs="Times New Roman"/>
          <w:sz w:val="16"/>
          <w:szCs w:val="16"/>
        </w:rPr>
        <w:t xml:space="preserve"> taleplerini enstitü müdürlüğüne enstitünün akademik takviminde belirtilen tarihlerde yapması gerekmektedir. Yüksek lisans bilimsel hazırlık programı öğrencileri de lisans programından aldığı dersler için </w:t>
      </w:r>
      <w:r w:rsidRPr="009F547E">
        <w:rPr>
          <w:rFonts w:ascii="Times New Roman" w:eastAsia="Times New Roman" w:hAnsi="Times New Roman" w:cs="Times New Roman"/>
          <w:sz w:val="16"/>
          <w:szCs w:val="16"/>
        </w:rPr>
        <w:t>muafiyet talebinde bulunabilirler. Alınan muafiyet başvuruları anabilim/</w:t>
      </w:r>
      <w:proofErr w:type="spellStart"/>
      <w:r w:rsidRPr="009F547E">
        <w:rPr>
          <w:rFonts w:ascii="Times New Roman" w:eastAsia="Times New Roman" w:hAnsi="Times New Roman" w:cs="Times New Roman"/>
          <w:sz w:val="16"/>
          <w:szCs w:val="16"/>
        </w:rPr>
        <w:t>anasanat</w:t>
      </w:r>
      <w:proofErr w:type="spellEnd"/>
      <w:r w:rsidRPr="009F547E">
        <w:rPr>
          <w:rFonts w:ascii="Times New Roman" w:eastAsia="Times New Roman" w:hAnsi="Times New Roman" w:cs="Times New Roman"/>
          <w:sz w:val="16"/>
          <w:szCs w:val="16"/>
        </w:rPr>
        <w:t xml:space="preserve"> dalına gönderilir. Anabilim/</w:t>
      </w:r>
      <w:proofErr w:type="spellStart"/>
      <w:r w:rsidRPr="009F547E">
        <w:rPr>
          <w:rFonts w:ascii="Times New Roman" w:eastAsia="Times New Roman" w:hAnsi="Times New Roman" w:cs="Times New Roman"/>
          <w:sz w:val="16"/>
          <w:szCs w:val="16"/>
        </w:rPr>
        <w:t>anasanat</w:t>
      </w:r>
      <w:proofErr w:type="spellEnd"/>
      <w:r w:rsidRPr="009F547E">
        <w:rPr>
          <w:rFonts w:ascii="Times New Roman" w:eastAsia="Times New Roman" w:hAnsi="Times New Roman" w:cs="Times New Roman"/>
          <w:sz w:val="16"/>
          <w:szCs w:val="16"/>
        </w:rPr>
        <w:t xml:space="preserve"> dalı başkanlığı da muafiyet başvuru sonuçlarını anabilim/</w:t>
      </w:r>
      <w:proofErr w:type="spellStart"/>
      <w:r w:rsidRPr="009F547E">
        <w:rPr>
          <w:rFonts w:ascii="Times New Roman" w:eastAsia="Times New Roman" w:hAnsi="Times New Roman" w:cs="Times New Roman"/>
          <w:sz w:val="16"/>
          <w:szCs w:val="16"/>
        </w:rPr>
        <w:t>anasanat</w:t>
      </w:r>
      <w:proofErr w:type="spellEnd"/>
      <w:r w:rsidRPr="009F547E">
        <w:rPr>
          <w:rFonts w:ascii="Times New Roman" w:eastAsia="Times New Roman" w:hAnsi="Times New Roman" w:cs="Times New Roman"/>
          <w:sz w:val="16"/>
          <w:szCs w:val="16"/>
        </w:rPr>
        <w:t xml:space="preserve"> dalı kurul kararıyla birlikte akademik takvimde belirtilen ders muafiyet/saydırma başvuruları son tarihinden itibaren 3 iş günü içerisinde enstitüye gönderir ve enstitü yönetim kurulu kararıyla kesinleşir.</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 xml:space="preserve">(2) Öğrencilerin üniversiteye kayıt tarihlerinden önce almış ve başarmış oldukları derslere ilişkin sonraki yarıyıllarda yapacakları muafiyet talepleri ya da muafiyet ve intibak işlemlerinin iptaline yönelik istekleri kabul edilmez. </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(3) Öğrencilerin muafiyet talebinde bulunacakları derslerle ilgili o ders/derslerden başarılı olduklarını gösteren belge (transkript) ve ilgili yükseköğretim kurumu tarafından onaylı (mühürlü, kaşeli imzalı ve/veya e-imzalı) ders içeriklerini teslim etmesi gerekir. İlgili yükseköğretim kurumu tarafından ders içeriklerinin bilgi paketlerinden alınabileceği resmi olarak bildirilmiş ise muafiyet talebi sırasında sunulacak ders içeriklerinin mühürlü, kaşeli imzalı ve/veya e-imzalı olmasına gerek yoktur.</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 xml:space="preserve">(4) Muafiyet istenen dersin zorunlu veya seçmeli olması durumuna bakılmaksızın, bölüm/program eşdeğerliliği dikkate alınarak öğrencinin dersten başarılı olması şartıyla ders içeriği uyumu ve AKTS değerine göre muafiyet kararı verilir. </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(5) Eşdeğer programlar arasında muafiyet işlemlerinde ders içeriklerinin en az %80 oranında uyumlu olması kaydıyla AKTS değerlerine bakılmaksızın muafiyet işlemi gerçekleştirilebilir.</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 xml:space="preserve">(6) Öğrencilerin daha önce lisansüstü programlardan aldığı derslerden muaf olarak sayılabilmesi için dersin/derslerin başarı notunun, Yozgat Bozok Üniversitesi Lisansüstü Eğitim-Öğretim ve Sınav Yönetmeliği’nin 23üncü maddesinin dördüncü ve beşinci fıkrasında belirlenen harf notlarının veya karşılıklarına denk olması gerekir. </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(7) Muafiyet talebi uygun görülen derslerin harf notları yerine muaf olduğunu gösteren bir harf notu veya farklı bir değerlendirme harfi yazıyorsa ve bu harf notunun yüzlük veya dörtlük karşılığı belgelenemiyorsa ilgili lisansüstü programının en düşük geçme notu verilir.</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(8) Lisansüstü programlarda ders saydırma eşdeğer programlar arasında yapılır.</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(9) Tezli yüksek lisans ve doktora programlarında uzaktan eğitim yöntemi ile alınan derslerin muafiyet işlemi yapılmaz.</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(10) Daha önce Yozgat Bozok Üniversitesinin lisansüstü programlarından herhangi birinde öğrenciyken ilişiği kesilen öğrencilerin aynı programa yeniden kayıt yaptırmaları ve bilim dalı değişikliği olması halinde ilişiğin kesilme aşamasına bakılmaksızın hangi aşamadan başlayacağı, Anabilim/</w:t>
      </w:r>
      <w:proofErr w:type="spellStart"/>
      <w:r w:rsidRPr="009F547E">
        <w:rPr>
          <w:rFonts w:ascii="Times New Roman" w:hAnsi="Times New Roman" w:cs="Times New Roman"/>
          <w:sz w:val="16"/>
          <w:szCs w:val="16"/>
        </w:rPr>
        <w:t>Anasanat</w:t>
      </w:r>
      <w:proofErr w:type="spellEnd"/>
      <w:r w:rsidRPr="009F547E">
        <w:rPr>
          <w:rFonts w:ascii="Times New Roman" w:hAnsi="Times New Roman" w:cs="Times New Roman"/>
          <w:sz w:val="16"/>
          <w:szCs w:val="16"/>
        </w:rPr>
        <w:t xml:space="preserve"> Dalı kurulunun kararı ve enstitü yönetim kurulunun onayı ile belirlenir. </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 xml:space="preserve">(11) Değişim programları çerçevesinde yurt içi ve yurt dışındaki yükseköğretim kurumlarından alınan lisansüstü dersler eğitim programında eşdeğer olan veya yerine sayılabilecek ders varsa bu derslerle birlikte, yoksa alınan ders seçmeli olarak kendi kodu, adı ve kredisi ile birlikte öğrencinin not döküm belgesine işlenir. </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(12) Tezsiz yüksek lisans programından tezli yüksek lisans programına geçiş yapan öğrenciler için; tezsiz yüksek lisans programında aldıkları derslerin muafiyet ve intibak işlemleri Anabilim/</w:t>
      </w:r>
      <w:proofErr w:type="spellStart"/>
      <w:r w:rsidRPr="009F547E">
        <w:rPr>
          <w:rFonts w:ascii="Times New Roman" w:hAnsi="Times New Roman" w:cs="Times New Roman"/>
          <w:sz w:val="16"/>
          <w:szCs w:val="16"/>
        </w:rPr>
        <w:t>Anasanat</w:t>
      </w:r>
      <w:proofErr w:type="spellEnd"/>
      <w:r w:rsidRPr="009F547E">
        <w:rPr>
          <w:rFonts w:ascii="Times New Roman" w:hAnsi="Times New Roman" w:cs="Times New Roman"/>
          <w:sz w:val="16"/>
          <w:szCs w:val="16"/>
        </w:rPr>
        <w:t xml:space="preserve"> Dalı kurulunun kararı ve enstitü yönetim kurulunun onayı ile belirlenir. Derslerin tamamı sayılan öğrencilerin, tezli yüksek lisans programında yer alan seminer dersini almaları zorunludur. </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 xml:space="preserve">(13) Yatay geçişle kabul edilen öğrenciler dışındaki öğrencilerin tez çalışması ve yeterlik çalışması dersinin/derslerinin muafiyeti yapılabilir. Ancak daha önceden tez konusu önerisi kabul edilen öğrencinin </w:t>
      </w:r>
      <w:r w:rsidRPr="005F590C">
        <w:rPr>
          <w:rFonts w:ascii="Times New Roman" w:hAnsi="Times New Roman" w:cs="Times New Roman"/>
          <w:sz w:val="16"/>
          <w:szCs w:val="16"/>
          <w:highlight w:val="yellow"/>
        </w:rPr>
        <w:t>önceki danışman veya danışmanların onayının alınması ve bunun belgelenmesi şartıyla</w:t>
      </w:r>
      <w:r w:rsidRPr="009F547E">
        <w:rPr>
          <w:rFonts w:ascii="Times New Roman" w:hAnsi="Times New Roman" w:cs="Times New Roman"/>
          <w:sz w:val="16"/>
          <w:szCs w:val="16"/>
        </w:rPr>
        <w:t xml:space="preserve"> anabilim/</w:t>
      </w:r>
      <w:proofErr w:type="spellStart"/>
      <w:r w:rsidRPr="009F547E">
        <w:rPr>
          <w:rFonts w:ascii="Times New Roman" w:hAnsi="Times New Roman" w:cs="Times New Roman"/>
          <w:sz w:val="16"/>
          <w:szCs w:val="16"/>
        </w:rPr>
        <w:t>anasanat</w:t>
      </w:r>
      <w:proofErr w:type="spellEnd"/>
      <w:r w:rsidRPr="009F547E">
        <w:rPr>
          <w:rFonts w:ascii="Times New Roman" w:hAnsi="Times New Roman" w:cs="Times New Roman"/>
          <w:sz w:val="16"/>
          <w:szCs w:val="16"/>
        </w:rPr>
        <w:t xml:space="preserve"> dalı kurulunun kararı ve enstitü yönetim kurulu onayı ile tez çalışması dersinden de muafiyeti yapılabilir.</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(14) Öğrenci, muafiyet talebi karara bağlanıncaya kadar muafiyet talebinde bulunduğu derse devam etmekle yükümlüdür.</w:t>
      </w:r>
    </w:p>
    <w:p w:rsidR="00DD10C0" w:rsidRPr="009F547E" w:rsidRDefault="00DD10C0" w:rsidP="008336C1">
      <w:pPr>
        <w:pStyle w:val="metin"/>
        <w:spacing w:before="0" w:beforeAutospacing="0" w:after="0" w:afterAutospacing="0" w:line="240" w:lineRule="atLeast"/>
        <w:ind w:firstLine="566"/>
        <w:jc w:val="both"/>
        <w:rPr>
          <w:sz w:val="16"/>
          <w:szCs w:val="16"/>
        </w:rPr>
      </w:pPr>
    </w:p>
    <w:sectPr w:rsidR="00DD10C0" w:rsidRPr="009F547E" w:rsidSect="00F20B8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745" w:rsidRDefault="00433745" w:rsidP="002B1213">
      <w:pPr>
        <w:spacing w:after="0" w:line="240" w:lineRule="auto"/>
      </w:pPr>
      <w:r>
        <w:separator/>
      </w:r>
    </w:p>
  </w:endnote>
  <w:endnote w:type="continuationSeparator" w:id="0">
    <w:p w:rsidR="00433745" w:rsidRDefault="00433745"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A51" w:rsidRDefault="00364A5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13" w:rsidRPr="00364A51" w:rsidRDefault="008F0749" w:rsidP="007728A3">
    <w:pPr>
      <w:pStyle w:val="Altbilgi"/>
      <w:ind w:left="-567"/>
      <w:rPr>
        <w:rFonts w:ascii="Times New Roman" w:hAnsi="Times New Roman" w:cs="Times New Roman"/>
        <w:sz w:val="24"/>
        <w:szCs w:val="24"/>
      </w:rPr>
    </w:pPr>
    <w:r w:rsidRPr="00364A51">
      <w:rPr>
        <w:rFonts w:ascii="Times New Roman" w:hAnsi="Times New Roman" w:cs="Times New Roman"/>
        <w:sz w:val="24"/>
        <w:szCs w:val="24"/>
      </w:rPr>
      <w:t>KYT-</w:t>
    </w:r>
    <w:r w:rsidR="002B1213" w:rsidRPr="00364A51">
      <w:rPr>
        <w:rFonts w:ascii="Times New Roman" w:hAnsi="Times New Roman" w:cs="Times New Roman"/>
        <w:sz w:val="24"/>
        <w:szCs w:val="24"/>
      </w:rPr>
      <w:t>FRM-</w:t>
    </w:r>
    <w:r w:rsidR="00510930">
      <w:rPr>
        <w:rFonts w:ascii="Times New Roman" w:hAnsi="Times New Roman" w:cs="Times New Roman"/>
        <w:sz w:val="24"/>
        <w:szCs w:val="24"/>
      </w:rPr>
      <w:t>167</w:t>
    </w:r>
    <w:bookmarkStart w:id="1" w:name="_GoBack"/>
    <w:bookmarkEnd w:id="1"/>
    <w:r w:rsidR="00AD5EB4" w:rsidRPr="00364A51">
      <w:rPr>
        <w:rFonts w:ascii="Times New Roman" w:hAnsi="Times New Roman" w:cs="Times New Roman"/>
        <w:sz w:val="24"/>
        <w:szCs w:val="24"/>
      </w:rPr>
      <w:t>/00</w:t>
    </w:r>
  </w:p>
  <w:p w:rsidR="002B1213" w:rsidRDefault="002B121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A51" w:rsidRDefault="00364A5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745" w:rsidRDefault="00433745" w:rsidP="002B1213">
      <w:pPr>
        <w:spacing w:after="0" w:line="240" w:lineRule="auto"/>
      </w:pPr>
      <w:r>
        <w:separator/>
      </w:r>
    </w:p>
  </w:footnote>
  <w:footnote w:type="continuationSeparator" w:id="0">
    <w:p w:rsidR="00433745" w:rsidRDefault="00433745"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A51" w:rsidRDefault="00364A5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5"/>
      <w:gridCol w:w="8472"/>
    </w:tblGrid>
    <w:tr w:rsidR="002B1213" w:rsidRPr="004A6822" w:rsidTr="008F0749">
      <w:trPr>
        <w:cantSplit/>
        <w:trHeight w:val="1400"/>
      </w:trPr>
      <w:tc>
        <w:tcPr>
          <w:tcW w:w="894" w:type="pct"/>
          <w:vAlign w:val="center"/>
        </w:tcPr>
        <w:p w:rsidR="002B1213" w:rsidRPr="004A6822" w:rsidRDefault="0059447E" w:rsidP="007728A3">
          <w:pPr>
            <w:spacing w:after="0"/>
            <w:jc w:val="center"/>
          </w:pPr>
          <w:r>
            <w:rPr>
              <w:noProof/>
            </w:rPr>
            <w:drawing>
              <wp:inline distT="0" distB="0" distL="0" distR="0" wp14:anchorId="79C8E16E" wp14:editId="2A7D25C2">
                <wp:extent cx="628650" cy="647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pic:spPr>
                    </pic:pic>
                  </a:graphicData>
                </a:graphic>
              </wp:inline>
            </w:drawing>
          </w:r>
        </w:p>
      </w:tc>
      <w:tc>
        <w:tcPr>
          <w:tcW w:w="4106" w:type="pct"/>
          <w:vAlign w:val="center"/>
        </w:tcPr>
        <w:p w:rsidR="002B1213" w:rsidRPr="007728A3" w:rsidRDefault="00B03463" w:rsidP="00D43369">
          <w:pPr>
            <w:pStyle w:val="stbilgi"/>
            <w:jc w:val="center"/>
            <w:rPr>
              <w:rFonts w:ascii="Times New Roman" w:hAnsi="Times New Roman" w:cs="Times New Roman"/>
              <w:b/>
              <w:bCs/>
              <w:sz w:val="32"/>
              <w:szCs w:val="32"/>
            </w:rPr>
          </w:pPr>
          <w:r>
            <w:rPr>
              <w:rFonts w:ascii="Times New Roman" w:hAnsi="Times New Roman" w:cs="Times New Roman"/>
              <w:b/>
              <w:bCs/>
              <w:sz w:val="32"/>
              <w:szCs w:val="32"/>
            </w:rPr>
            <w:t xml:space="preserve">YOZGAT </w:t>
          </w:r>
          <w:r w:rsidR="00AE5D2A" w:rsidRPr="00AE5D2A">
            <w:rPr>
              <w:rFonts w:ascii="Times New Roman" w:hAnsi="Times New Roman" w:cs="Times New Roman"/>
              <w:b/>
              <w:bCs/>
              <w:sz w:val="32"/>
              <w:szCs w:val="32"/>
            </w:rPr>
            <w:t>BOZOK</w:t>
          </w:r>
          <w:r w:rsidR="00AE5D2A">
            <w:rPr>
              <w:rFonts w:ascii="Times New Roman" w:hAnsi="Times New Roman" w:cs="Times New Roman"/>
              <w:b/>
              <w:bCs/>
              <w:sz w:val="32"/>
              <w:szCs w:val="32"/>
            </w:rPr>
            <w:t xml:space="preserve"> </w:t>
          </w:r>
          <w:r w:rsidR="002B1213" w:rsidRPr="007728A3">
            <w:rPr>
              <w:rFonts w:ascii="Times New Roman" w:hAnsi="Times New Roman" w:cs="Times New Roman"/>
              <w:b/>
              <w:bCs/>
              <w:sz w:val="32"/>
              <w:szCs w:val="32"/>
            </w:rPr>
            <w:t>ÜNİVERSİTESİ</w:t>
          </w:r>
        </w:p>
        <w:p w:rsidR="00D43369" w:rsidRDefault="007728A3" w:rsidP="00D43369">
          <w:pPr>
            <w:pStyle w:val="AralkYok"/>
            <w:jc w:val="center"/>
            <w:rPr>
              <w:rFonts w:ascii="Times New Roman" w:hAnsi="Times New Roman" w:cs="Times New Roman"/>
              <w:b/>
              <w:sz w:val="32"/>
              <w:szCs w:val="32"/>
            </w:rPr>
          </w:pPr>
          <w:r>
            <w:rPr>
              <w:rFonts w:ascii="Times New Roman" w:hAnsi="Times New Roman" w:cs="Times New Roman"/>
              <w:b/>
              <w:sz w:val="32"/>
              <w:szCs w:val="32"/>
            </w:rPr>
            <w:t xml:space="preserve">LİSANSÜSTÜ </w:t>
          </w:r>
          <w:r w:rsidR="00256544">
            <w:rPr>
              <w:rFonts w:ascii="Times New Roman" w:hAnsi="Times New Roman" w:cs="Times New Roman"/>
              <w:b/>
              <w:sz w:val="32"/>
              <w:szCs w:val="32"/>
            </w:rPr>
            <w:t>EĞİTİM ENSTİTÜSÜ</w:t>
          </w:r>
        </w:p>
        <w:p w:rsidR="002B1213" w:rsidRPr="002B1213" w:rsidRDefault="00E6476B" w:rsidP="00D21464">
          <w:pPr>
            <w:pStyle w:val="AralkYok"/>
            <w:jc w:val="center"/>
            <w:rPr>
              <w:rFonts w:ascii="Times New Roman" w:hAnsi="Times New Roman" w:cs="Times New Roman"/>
              <w:b/>
              <w:sz w:val="32"/>
              <w:szCs w:val="32"/>
            </w:rPr>
          </w:pPr>
          <w:r>
            <w:rPr>
              <w:rFonts w:ascii="Times New Roman" w:hAnsi="Times New Roman" w:cs="Times New Roman"/>
              <w:b/>
              <w:sz w:val="32"/>
              <w:szCs w:val="32"/>
            </w:rPr>
            <w:t xml:space="preserve">ANABİLİM DALI </w:t>
          </w:r>
          <w:r w:rsidR="00FA131F">
            <w:rPr>
              <w:rFonts w:ascii="Times New Roman" w:hAnsi="Times New Roman" w:cs="Times New Roman"/>
              <w:b/>
              <w:sz w:val="32"/>
              <w:szCs w:val="32"/>
            </w:rPr>
            <w:t xml:space="preserve">DERS </w:t>
          </w:r>
          <w:r w:rsidR="00D21464">
            <w:rPr>
              <w:rFonts w:ascii="Times New Roman" w:hAnsi="Times New Roman" w:cs="Times New Roman"/>
              <w:b/>
              <w:sz w:val="32"/>
              <w:szCs w:val="32"/>
            </w:rPr>
            <w:t>SAYDIRMA/</w:t>
          </w:r>
          <w:r>
            <w:rPr>
              <w:rFonts w:ascii="Times New Roman" w:hAnsi="Times New Roman" w:cs="Times New Roman"/>
              <w:b/>
              <w:sz w:val="32"/>
              <w:szCs w:val="32"/>
            </w:rPr>
            <w:t xml:space="preserve">MUAFİYET DEĞERLENDİRME </w:t>
          </w:r>
          <w:r w:rsidR="00FA131F">
            <w:rPr>
              <w:rFonts w:ascii="Times New Roman" w:hAnsi="Times New Roman" w:cs="Times New Roman"/>
              <w:b/>
              <w:sz w:val="32"/>
              <w:szCs w:val="32"/>
            </w:rPr>
            <w:t>FORMU</w:t>
          </w:r>
        </w:p>
      </w:tc>
    </w:tr>
  </w:tbl>
  <w:p w:rsidR="002B1213" w:rsidRDefault="002B121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A51" w:rsidRDefault="00364A5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64DF1532"/>
    <w:multiLevelType w:val="hybridMultilevel"/>
    <w:tmpl w:val="80A00BA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1344E"/>
    <w:rsid w:val="000146F4"/>
    <w:rsid w:val="00015C14"/>
    <w:rsid w:val="000247C0"/>
    <w:rsid w:val="00041A26"/>
    <w:rsid w:val="00087F45"/>
    <w:rsid w:val="000A70B4"/>
    <w:rsid w:val="000B08A5"/>
    <w:rsid w:val="000D1230"/>
    <w:rsid w:val="000D33D0"/>
    <w:rsid w:val="000F16B6"/>
    <w:rsid w:val="000F2812"/>
    <w:rsid w:val="000F7DCF"/>
    <w:rsid w:val="00101AC9"/>
    <w:rsid w:val="00101B5F"/>
    <w:rsid w:val="0010544C"/>
    <w:rsid w:val="00116C37"/>
    <w:rsid w:val="001170F1"/>
    <w:rsid w:val="001524A9"/>
    <w:rsid w:val="00177B0A"/>
    <w:rsid w:val="001A1AA0"/>
    <w:rsid w:val="001A6D49"/>
    <w:rsid w:val="001B1B3E"/>
    <w:rsid w:val="001B2004"/>
    <w:rsid w:val="001E0C73"/>
    <w:rsid w:val="00223640"/>
    <w:rsid w:val="00237018"/>
    <w:rsid w:val="002467B9"/>
    <w:rsid w:val="002513F8"/>
    <w:rsid w:val="0025411E"/>
    <w:rsid w:val="00256544"/>
    <w:rsid w:val="00263E03"/>
    <w:rsid w:val="00296278"/>
    <w:rsid w:val="002B1213"/>
    <w:rsid w:val="002C0204"/>
    <w:rsid w:val="002C192F"/>
    <w:rsid w:val="002C59AA"/>
    <w:rsid w:val="002D31E4"/>
    <w:rsid w:val="00306849"/>
    <w:rsid w:val="00361C81"/>
    <w:rsid w:val="003645BD"/>
    <w:rsid w:val="00364A51"/>
    <w:rsid w:val="003661E3"/>
    <w:rsid w:val="00370BDD"/>
    <w:rsid w:val="0038132F"/>
    <w:rsid w:val="003821D2"/>
    <w:rsid w:val="003931C7"/>
    <w:rsid w:val="003936A3"/>
    <w:rsid w:val="003972E8"/>
    <w:rsid w:val="003F7BEF"/>
    <w:rsid w:val="0041018A"/>
    <w:rsid w:val="004155D2"/>
    <w:rsid w:val="00433745"/>
    <w:rsid w:val="0045442E"/>
    <w:rsid w:val="004640F3"/>
    <w:rsid w:val="00467F06"/>
    <w:rsid w:val="00481E70"/>
    <w:rsid w:val="0048238E"/>
    <w:rsid w:val="004B3501"/>
    <w:rsid w:val="004B5A0D"/>
    <w:rsid w:val="004D2302"/>
    <w:rsid w:val="004F3242"/>
    <w:rsid w:val="00510930"/>
    <w:rsid w:val="005217B8"/>
    <w:rsid w:val="00546FA4"/>
    <w:rsid w:val="005738EF"/>
    <w:rsid w:val="00592355"/>
    <w:rsid w:val="0059447E"/>
    <w:rsid w:val="005A34ED"/>
    <w:rsid w:val="005B30CF"/>
    <w:rsid w:val="005F2C59"/>
    <w:rsid w:val="005F590C"/>
    <w:rsid w:val="00621690"/>
    <w:rsid w:val="00671E3B"/>
    <w:rsid w:val="00671FBD"/>
    <w:rsid w:val="006855D9"/>
    <w:rsid w:val="00687048"/>
    <w:rsid w:val="00696ECE"/>
    <w:rsid w:val="006A3E34"/>
    <w:rsid w:val="006B10CA"/>
    <w:rsid w:val="006B5F21"/>
    <w:rsid w:val="006D11E2"/>
    <w:rsid w:val="006F19AE"/>
    <w:rsid w:val="00700BF9"/>
    <w:rsid w:val="00721DEB"/>
    <w:rsid w:val="00746519"/>
    <w:rsid w:val="00746559"/>
    <w:rsid w:val="00765B4A"/>
    <w:rsid w:val="007728A3"/>
    <w:rsid w:val="00776537"/>
    <w:rsid w:val="007924BA"/>
    <w:rsid w:val="007C5315"/>
    <w:rsid w:val="007D5A27"/>
    <w:rsid w:val="00811BAD"/>
    <w:rsid w:val="00812615"/>
    <w:rsid w:val="00815FFC"/>
    <w:rsid w:val="008325CB"/>
    <w:rsid w:val="008336C1"/>
    <w:rsid w:val="00856495"/>
    <w:rsid w:val="00864F55"/>
    <w:rsid w:val="008F0749"/>
    <w:rsid w:val="009114E6"/>
    <w:rsid w:val="00920BAA"/>
    <w:rsid w:val="00925EE7"/>
    <w:rsid w:val="00940A5E"/>
    <w:rsid w:val="009415DF"/>
    <w:rsid w:val="00955B38"/>
    <w:rsid w:val="00957B1B"/>
    <w:rsid w:val="009651C1"/>
    <w:rsid w:val="009A2DD4"/>
    <w:rsid w:val="009A4AFB"/>
    <w:rsid w:val="009A7A1D"/>
    <w:rsid w:val="009B1988"/>
    <w:rsid w:val="009E3C61"/>
    <w:rsid w:val="009E73D1"/>
    <w:rsid w:val="009F547E"/>
    <w:rsid w:val="00A03D19"/>
    <w:rsid w:val="00A159ED"/>
    <w:rsid w:val="00A46816"/>
    <w:rsid w:val="00A740D1"/>
    <w:rsid w:val="00AB157B"/>
    <w:rsid w:val="00AD5EB4"/>
    <w:rsid w:val="00AE5D2A"/>
    <w:rsid w:val="00AE7B00"/>
    <w:rsid w:val="00AF6DFA"/>
    <w:rsid w:val="00B03463"/>
    <w:rsid w:val="00B678EE"/>
    <w:rsid w:val="00B74D03"/>
    <w:rsid w:val="00B86355"/>
    <w:rsid w:val="00B95B9D"/>
    <w:rsid w:val="00BF2774"/>
    <w:rsid w:val="00C505A9"/>
    <w:rsid w:val="00C53021"/>
    <w:rsid w:val="00C546F0"/>
    <w:rsid w:val="00C63A21"/>
    <w:rsid w:val="00CF2C08"/>
    <w:rsid w:val="00D03707"/>
    <w:rsid w:val="00D15D4A"/>
    <w:rsid w:val="00D21464"/>
    <w:rsid w:val="00D3101D"/>
    <w:rsid w:val="00D43369"/>
    <w:rsid w:val="00D67341"/>
    <w:rsid w:val="00D77952"/>
    <w:rsid w:val="00D8208E"/>
    <w:rsid w:val="00D9389A"/>
    <w:rsid w:val="00DA0972"/>
    <w:rsid w:val="00DD10C0"/>
    <w:rsid w:val="00E505FA"/>
    <w:rsid w:val="00E5530F"/>
    <w:rsid w:val="00E6476B"/>
    <w:rsid w:val="00E826B2"/>
    <w:rsid w:val="00E92508"/>
    <w:rsid w:val="00EA146F"/>
    <w:rsid w:val="00EC54FC"/>
    <w:rsid w:val="00ED7F27"/>
    <w:rsid w:val="00F148C7"/>
    <w:rsid w:val="00F20B8D"/>
    <w:rsid w:val="00F45F28"/>
    <w:rsid w:val="00FA131F"/>
    <w:rsid w:val="00FA7BD4"/>
    <w:rsid w:val="00FC4AF9"/>
    <w:rsid w:val="00FE1CC2"/>
    <w:rsid w:val="00FF5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336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paragraph" w:styleId="Balk6">
    <w:name w:val="heading 6"/>
    <w:basedOn w:val="Normal"/>
    <w:next w:val="Normal"/>
    <w:link w:val="Balk6Char"/>
    <w:uiPriority w:val="9"/>
    <w:semiHidden/>
    <w:unhideWhenUsed/>
    <w:qFormat/>
    <w:rsid w:val="00D9389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character" w:customStyle="1" w:styleId="Balk6Char">
    <w:name w:val="Başlık 6 Char"/>
    <w:basedOn w:val="VarsaylanParagrafYazTipi"/>
    <w:link w:val="Balk6"/>
    <w:uiPriority w:val="9"/>
    <w:semiHidden/>
    <w:rsid w:val="00D9389A"/>
    <w:rPr>
      <w:rFonts w:asciiTheme="majorHAnsi" w:eastAsiaTheme="majorEastAsia" w:hAnsiTheme="majorHAnsi" w:cstheme="majorBidi"/>
      <w:i/>
      <w:iCs/>
      <w:color w:val="243F60" w:themeColor="accent1" w:themeShade="7F"/>
    </w:rPr>
  </w:style>
  <w:style w:type="paragraph" w:customStyle="1" w:styleId="metin">
    <w:name w:val="metin"/>
    <w:basedOn w:val="Normal"/>
    <w:rsid w:val="00DD1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DD10C0"/>
  </w:style>
  <w:style w:type="character" w:customStyle="1" w:styleId="grame">
    <w:name w:val="grame"/>
    <w:basedOn w:val="VarsaylanParagrafYazTipi"/>
    <w:rsid w:val="00DD10C0"/>
  </w:style>
  <w:style w:type="character" w:customStyle="1" w:styleId="Balk1Char">
    <w:name w:val="Başlık 1 Char"/>
    <w:basedOn w:val="VarsaylanParagrafYazTipi"/>
    <w:link w:val="Balk1"/>
    <w:uiPriority w:val="9"/>
    <w:rsid w:val="008336C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336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paragraph" w:styleId="Balk6">
    <w:name w:val="heading 6"/>
    <w:basedOn w:val="Normal"/>
    <w:next w:val="Normal"/>
    <w:link w:val="Balk6Char"/>
    <w:uiPriority w:val="9"/>
    <w:semiHidden/>
    <w:unhideWhenUsed/>
    <w:qFormat/>
    <w:rsid w:val="00D9389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character" w:customStyle="1" w:styleId="Balk6Char">
    <w:name w:val="Başlık 6 Char"/>
    <w:basedOn w:val="VarsaylanParagrafYazTipi"/>
    <w:link w:val="Balk6"/>
    <w:uiPriority w:val="9"/>
    <w:semiHidden/>
    <w:rsid w:val="00D9389A"/>
    <w:rPr>
      <w:rFonts w:asciiTheme="majorHAnsi" w:eastAsiaTheme="majorEastAsia" w:hAnsiTheme="majorHAnsi" w:cstheme="majorBidi"/>
      <w:i/>
      <w:iCs/>
      <w:color w:val="243F60" w:themeColor="accent1" w:themeShade="7F"/>
    </w:rPr>
  </w:style>
  <w:style w:type="paragraph" w:customStyle="1" w:styleId="metin">
    <w:name w:val="metin"/>
    <w:basedOn w:val="Normal"/>
    <w:rsid w:val="00DD1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DD10C0"/>
  </w:style>
  <w:style w:type="character" w:customStyle="1" w:styleId="grame">
    <w:name w:val="grame"/>
    <w:basedOn w:val="VarsaylanParagrafYazTipi"/>
    <w:rsid w:val="00DD10C0"/>
  </w:style>
  <w:style w:type="character" w:customStyle="1" w:styleId="Balk1Char">
    <w:name w:val="Başlık 1 Char"/>
    <w:basedOn w:val="VarsaylanParagrafYazTipi"/>
    <w:link w:val="Balk1"/>
    <w:uiPriority w:val="9"/>
    <w:rsid w:val="008336C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403650806">
      <w:bodyDiv w:val="1"/>
      <w:marLeft w:val="0"/>
      <w:marRight w:val="0"/>
      <w:marTop w:val="0"/>
      <w:marBottom w:val="0"/>
      <w:divBdr>
        <w:top w:val="none" w:sz="0" w:space="0" w:color="auto"/>
        <w:left w:val="none" w:sz="0" w:space="0" w:color="auto"/>
        <w:bottom w:val="none" w:sz="0" w:space="0" w:color="auto"/>
        <w:right w:val="none" w:sz="0" w:space="0" w:color="auto"/>
      </w:divBdr>
    </w:div>
    <w:div w:id="1059860526">
      <w:bodyDiv w:val="1"/>
      <w:marLeft w:val="0"/>
      <w:marRight w:val="0"/>
      <w:marTop w:val="0"/>
      <w:marBottom w:val="0"/>
      <w:divBdr>
        <w:top w:val="none" w:sz="0" w:space="0" w:color="auto"/>
        <w:left w:val="none" w:sz="0" w:space="0" w:color="auto"/>
        <w:bottom w:val="none" w:sz="0" w:space="0" w:color="auto"/>
        <w:right w:val="none" w:sz="0" w:space="0" w:color="auto"/>
      </w:divBdr>
    </w:div>
    <w:div w:id="1094013566">
      <w:bodyDiv w:val="1"/>
      <w:marLeft w:val="0"/>
      <w:marRight w:val="0"/>
      <w:marTop w:val="0"/>
      <w:marBottom w:val="0"/>
      <w:divBdr>
        <w:top w:val="none" w:sz="0" w:space="0" w:color="auto"/>
        <w:left w:val="none" w:sz="0" w:space="0" w:color="auto"/>
        <w:bottom w:val="none" w:sz="0" w:space="0" w:color="auto"/>
        <w:right w:val="none" w:sz="0" w:space="0" w:color="auto"/>
      </w:divBdr>
    </w:div>
    <w:div w:id="1168517226">
      <w:bodyDiv w:val="1"/>
      <w:marLeft w:val="0"/>
      <w:marRight w:val="0"/>
      <w:marTop w:val="0"/>
      <w:marBottom w:val="0"/>
      <w:divBdr>
        <w:top w:val="none" w:sz="0" w:space="0" w:color="auto"/>
        <w:left w:val="none" w:sz="0" w:space="0" w:color="auto"/>
        <w:bottom w:val="none" w:sz="0" w:space="0" w:color="auto"/>
        <w:right w:val="none" w:sz="0" w:space="0" w:color="auto"/>
      </w:divBdr>
    </w:div>
    <w:div w:id="1383479375">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9799C-6B08-4596-A6C7-D53A2131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979</Words>
  <Characters>5581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35</cp:revision>
  <dcterms:created xsi:type="dcterms:W3CDTF">2024-09-16T11:48:00Z</dcterms:created>
  <dcterms:modified xsi:type="dcterms:W3CDTF">2024-11-27T07:29:00Z</dcterms:modified>
</cp:coreProperties>
</file>