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E3CE6" w14:textId="77777777" w:rsidR="007F0300" w:rsidRDefault="00F25A8A">
      <w:pPr>
        <w:spacing w:after="0" w:line="360" w:lineRule="auto"/>
        <w:jc w:val="center"/>
        <w:rPr>
          <w:rFonts w:ascii="Arial" w:hAnsi="Arial" w:cs="Arial"/>
          <w:b/>
        </w:rPr>
      </w:pPr>
      <w:r>
        <w:rPr>
          <w:rFonts w:ascii="Arial" w:hAnsi="Arial" w:cs="Arial"/>
          <w:b/>
        </w:rPr>
        <w:t>YOZGAT BOZOK ÜNİVERSİTESİ BAP KOORDİNASYON BİRİMİ</w:t>
      </w:r>
    </w:p>
    <w:p w14:paraId="3F72FF7F" w14:textId="30CC3F94" w:rsidR="007F0300" w:rsidRDefault="00F25A8A">
      <w:pPr>
        <w:spacing w:after="0" w:line="360" w:lineRule="auto"/>
        <w:jc w:val="center"/>
        <w:rPr>
          <w:rFonts w:ascii="Arial" w:hAnsi="Arial" w:cs="Arial"/>
          <w:b/>
        </w:rPr>
      </w:pPr>
      <w:r>
        <w:rPr>
          <w:rFonts w:ascii="Arial" w:hAnsi="Arial" w:cs="Arial"/>
          <w:b/>
        </w:rPr>
        <w:t>2026 YILI 5. GÜDÜMLÜ PROJE ÇAĞRISI</w:t>
      </w:r>
    </w:p>
    <w:p w14:paraId="39C090F7" w14:textId="77777777" w:rsidR="007F0300" w:rsidRDefault="007F0300">
      <w:pPr>
        <w:spacing w:line="360" w:lineRule="auto"/>
        <w:jc w:val="both"/>
        <w:rPr>
          <w:rFonts w:ascii="Arial" w:hAnsi="Arial" w:cs="Arial"/>
        </w:rPr>
      </w:pPr>
    </w:p>
    <w:p w14:paraId="2B8627CD" w14:textId="055A8F10" w:rsidR="007F0300" w:rsidRPr="00F305C5" w:rsidRDefault="00F305C5" w:rsidP="00F305C5">
      <w:pPr>
        <w:spacing w:line="360" w:lineRule="auto"/>
        <w:rPr>
          <w:rFonts w:ascii="Arial" w:hAnsi="Arial" w:cs="Arial"/>
          <w:b/>
        </w:rPr>
      </w:pPr>
      <w:r w:rsidRPr="00F305C5">
        <w:rPr>
          <w:b/>
        </w:rPr>
        <w:t>''ORTA İRTİFA ROKET SİSTEMLERİNİN TASARIMI, ANALİZİ, ÜRETİMİ VE DENEYSEL DOĞRULAMASI'</w:t>
      </w:r>
      <w:r w:rsidR="00C82C41">
        <w:rPr>
          <w:b/>
        </w:rPr>
        <w:t>’</w:t>
      </w:r>
      <w:bookmarkStart w:id="0" w:name="_GoBack"/>
      <w:bookmarkEnd w:id="0"/>
    </w:p>
    <w:p w14:paraId="409344ED" w14:textId="4603E17B" w:rsidR="007F0300" w:rsidRDefault="00F25A8A">
      <w:pPr>
        <w:spacing w:line="360" w:lineRule="auto"/>
        <w:jc w:val="both"/>
        <w:rPr>
          <w:rFonts w:ascii="Arial" w:hAnsi="Arial" w:cs="Arial"/>
        </w:rPr>
      </w:pPr>
      <w:r>
        <w:rPr>
          <w:rFonts w:ascii="Arial" w:hAnsi="Arial" w:cs="Arial"/>
        </w:rPr>
        <w:t>Yozgat Bozok Üniversitesi Bilimsel Araştırma Projeleri Komisyonu, ülkemizin bilim, teknoloji ve yenilik stratejileri ile Üniversitemizin stratejik hedefleri kapsamında; havacılık, uzay, savunma ve ileri mühendislik uygulamalarında ihtiyaç duyulan öncelikli alanlarda izlenebilir hedefleri bulunan, somut altyapı ve insan kaynağı kazanımı sağlayabilecek Güdümlü Proje önerilerini desteklemek üzere bu proje çağrısının yapılmasına karar vermiştir.</w:t>
      </w:r>
    </w:p>
    <w:p w14:paraId="6CC80FD6" w14:textId="77777777" w:rsidR="007F0300" w:rsidRDefault="00F25A8A">
      <w:pPr>
        <w:spacing w:line="360" w:lineRule="auto"/>
        <w:jc w:val="both"/>
        <w:rPr>
          <w:rFonts w:ascii="Arial" w:hAnsi="Arial" w:cs="Arial"/>
          <w:b/>
        </w:rPr>
      </w:pPr>
      <w:r>
        <w:rPr>
          <w:rFonts w:ascii="Arial" w:hAnsi="Arial" w:cs="Arial"/>
          <w:b/>
        </w:rPr>
        <w:t>Amaç ve Kapsam</w:t>
      </w:r>
    </w:p>
    <w:p w14:paraId="5214797B" w14:textId="77777777" w:rsidR="007F0300" w:rsidRDefault="00F25A8A">
      <w:pPr>
        <w:spacing w:line="360" w:lineRule="auto"/>
        <w:jc w:val="both"/>
        <w:rPr>
          <w:rFonts w:ascii="Arial" w:hAnsi="Arial" w:cs="Arial"/>
        </w:rPr>
      </w:pPr>
      <w:r>
        <w:rPr>
          <w:rFonts w:ascii="Arial" w:hAnsi="Arial" w:cs="Arial"/>
        </w:rPr>
        <w:t>Bu güdümlü proje çağrısının amacı; Yozgat Bozok Üniversitesinde orta irtifa roket sistemlerinin tasarımı, sayısal modellenmesi, simülasyonu, üretimi ve deneysel doğrulaması alanlarında araştırma kapasitesini artırmak; bu alanda sürdürülebilir bir tasarım, analiz, aviyonik ve test altyapısı oluşturmaktır.</w:t>
      </w:r>
    </w:p>
    <w:p w14:paraId="76853D85" w14:textId="77777777" w:rsidR="007F0300" w:rsidRDefault="00F25A8A">
      <w:pPr>
        <w:spacing w:line="360" w:lineRule="auto"/>
        <w:jc w:val="both"/>
        <w:rPr>
          <w:rFonts w:ascii="Arial" w:hAnsi="Arial" w:cs="Arial"/>
        </w:rPr>
      </w:pPr>
      <w:r>
        <w:rPr>
          <w:rFonts w:ascii="Arial" w:hAnsi="Arial" w:cs="Arial"/>
        </w:rPr>
        <w:t>Çağrı, roket sistemlerinin yalnızca prototip üretimine odaklanan yarışma yaklaşımının ötesine geçerek; aerodinamik tasarım, yapısal dayanım, uçuş dinamiği, aviyonik veri toplama, belirsizlik analizi, risk yönetimi ve deneysel doğrulama süreçlerini bütüncül biçimde ele alan projeleri desteklemeyi hedeflemektedir.</w:t>
      </w:r>
    </w:p>
    <w:p w14:paraId="70960F59" w14:textId="77777777" w:rsidR="007F0300" w:rsidRDefault="00F25A8A">
      <w:pPr>
        <w:spacing w:line="360" w:lineRule="auto"/>
        <w:jc w:val="both"/>
        <w:rPr>
          <w:rFonts w:ascii="Arial" w:hAnsi="Arial" w:cs="Arial"/>
        </w:rPr>
      </w:pPr>
      <w:r>
        <w:rPr>
          <w:rFonts w:ascii="Arial" w:hAnsi="Arial" w:cs="Arial"/>
        </w:rPr>
        <w:t>Çağrı kapsamında desteklenecek projelerin aşağıdaki başlıklardan en az birkaçını bütünleşik biçimde kapsaması beklenmektedir:</w:t>
      </w:r>
    </w:p>
    <w:p w14:paraId="47D7C93C"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Orta irtifa hedefi doğrultusunda güvenilir ve modüler roket sistemi tasarımı, modellenmesi, simülasyonu, üretimi ve deneysel doğrulaması</w:t>
      </w:r>
    </w:p>
    <w:p w14:paraId="3C4FDF09"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Aerodinamik karakteristiklerin Barrowman yöntemi ve/veya CFD tabanlı analizlerle incelenmesi</w:t>
      </w:r>
    </w:p>
    <w:p w14:paraId="5F2C26BF"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Roket gövdesi, burun konisi, kanatçık ve bağlantı elemanlarının CAD/CAE tabanlı tasarımı ve sonlu elemanlar yöntemi ile yapısal dayanım analizi</w:t>
      </w:r>
    </w:p>
    <w:p w14:paraId="3BD75C5B"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Tsiolkovsky roket denklemi, itki-zaman eğrileri ve kütle bütçesi temel alınarak uçuş performansının hesaplanması</w:t>
      </w:r>
    </w:p>
    <w:p w14:paraId="4FFEE946"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6 serbestlik dereceli uçuş modeli ile uçuş senaryolarının, rüzgar etkilerinin, kütle değişiminin ve aerodinamik sürüklemenin simülasyonu</w:t>
      </w:r>
    </w:p>
    <w:p w14:paraId="0147F096"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Monte Carlo tabanlı belirsizlik analizi ile rüzgar, sensör hatası, üretim toleransı ve çevresel değişkenlerin uçuş performansına etkisinin değerlendirilmesi</w:t>
      </w:r>
    </w:p>
    <w:p w14:paraId="3FE548EA"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lastRenderedPageBreak/>
        <w:t>IMU, GPS ve barometrik sensörlere dayalı uçuş bilgisayarı, veri kayıt, telemetri ve Kalman filtresi tabanlı veri füzyonu altyapısının geliştirilmesi</w:t>
      </w:r>
    </w:p>
    <w:p w14:paraId="5A2B091B"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FMEA, hata ağacı analizi ve güvenli uçuş kriterleri ile risk azaltma planlarının oluşturulması</w:t>
      </w:r>
    </w:p>
    <w:p w14:paraId="40093CC8"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Kurtarma sistemi, ayrılma mekanizması, yer testleri ve uçuş testleri üzerinden sistem doğrulamasının yapılması</w:t>
      </w:r>
    </w:p>
    <w:p w14:paraId="3D6D94AE" w14:textId="77777777" w:rsidR="007F0300" w:rsidRDefault="00F25A8A">
      <w:pPr>
        <w:spacing w:line="360" w:lineRule="auto"/>
        <w:jc w:val="both"/>
        <w:rPr>
          <w:rFonts w:ascii="Arial" w:hAnsi="Arial" w:cs="Arial"/>
        </w:rPr>
      </w:pPr>
      <w:r>
        <w:rPr>
          <w:rFonts w:ascii="Arial" w:hAnsi="Arial" w:cs="Arial"/>
        </w:rPr>
        <w:t>Bu çağrı, Fen ve Mühendislik Bilimleri proje grubu altında; havacılık-uzay teknolojileri, roket sistemleri, gömülü sistemler, sayısal modelleme, mühendislik tasarımı, güvenlik ve deneysel doğrulama alanları ile doğrudan ilişkilidir. Başvuruların, proje sonunda üniversite bünyesinde kullanılabilir bir araştırma altyapısı ve tekrarlanabilir bir mühendislik metodolojisi bırakması beklenir.</w:t>
      </w:r>
    </w:p>
    <w:p w14:paraId="2FEDB0C0" w14:textId="77777777" w:rsidR="007F0300" w:rsidRDefault="00F25A8A">
      <w:pPr>
        <w:spacing w:line="360" w:lineRule="auto"/>
        <w:jc w:val="both"/>
        <w:rPr>
          <w:rFonts w:ascii="Arial" w:hAnsi="Arial" w:cs="Arial"/>
          <w:b/>
        </w:rPr>
      </w:pPr>
      <w:r>
        <w:rPr>
          <w:rFonts w:ascii="Arial" w:hAnsi="Arial" w:cs="Arial"/>
          <w:b/>
        </w:rPr>
        <w:t>Çağrı Kapsamında Öncelikli Araştırma Başlıkları</w:t>
      </w:r>
    </w:p>
    <w:p w14:paraId="4CA291E9"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Orta irtifa roket sistemi için gereksinim analizi, sistem mimarisi ve modüler tasarım yaklaşımı</w:t>
      </w:r>
    </w:p>
    <w:p w14:paraId="13C48185"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Aerodinamik stabilite, basınç merkezi-kütle merkezi ilişkisi, statik marjin ve sürükleme katsayısı analizleri</w:t>
      </w:r>
    </w:p>
    <w:p w14:paraId="74A9980A"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CFD ve analitik aerodinamik hesapların karşılaştırılması ve doğrulanması</w:t>
      </w:r>
    </w:p>
    <w:p w14:paraId="293AB7D6"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FEA tabanlı yapısal dayanım analizi, malzeme seçimi ve güvenlik katsayısı değerlendirmesi</w:t>
      </w:r>
    </w:p>
    <w:p w14:paraId="4CAB5E7D"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Katı yakıtlı motor seçimi, itki/ağırlık oranı, kütle bütçesi ve performans kestirimi</w:t>
      </w:r>
    </w:p>
    <w:p w14:paraId="6554C1C4"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6-DOF uçuş dinamiği modelinin geliştirilmesi, uçuş profilinin simülasyonu ve deneysel verilerle doğrulanması</w:t>
      </w:r>
    </w:p>
    <w:p w14:paraId="7F9A6CAB"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Aviyonik sistem tasarımı, sensör kalibrasyonu, veri toplama, veri işleme ve telemetri altyapısı</w:t>
      </w:r>
    </w:p>
    <w:p w14:paraId="6247CE9C"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Kalman filtresi ve benzeri durum kestirim yöntemleri ile konum, hız ve irtifa bilgilerinin güvenilir biçimde elde edilmesi</w:t>
      </w:r>
    </w:p>
    <w:p w14:paraId="77CE257D"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Monte Carlo simülasyonları ile belirsizlik ve tolerans analizlerinin gerçekleştirilmesi</w:t>
      </w:r>
    </w:p>
    <w:p w14:paraId="3A811F0D"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FMEA, hata ağacı analizi, risk önceliklendirme ve güvenli test prosedürlerinin hazırlanması</w:t>
      </w:r>
    </w:p>
    <w:p w14:paraId="06910C45"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Yer testleri, sensör doğrulama testleri, yapısal dayanım testleri ve kontrollü uçuş testlerinin planlanması</w:t>
      </w:r>
    </w:p>
    <w:p w14:paraId="05905EAE"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Ulusal ve uluslararası roket yarışmalarına katılım sağlayabilecek teknik yeterliliğin geliştirilmesi</w:t>
      </w:r>
    </w:p>
    <w:p w14:paraId="443E3FB3" w14:textId="77777777" w:rsidR="00F25A8A" w:rsidRDefault="00F25A8A">
      <w:pPr>
        <w:spacing w:line="360" w:lineRule="auto"/>
        <w:jc w:val="both"/>
        <w:rPr>
          <w:rFonts w:ascii="Arial" w:hAnsi="Arial" w:cs="Arial"/>
          <w:b/>
        </w:rPr>
      </w:pPr>
    </w:p>
    <w:p w14:paraId="0E8CE1C0" w14:textId="26AFE057" w:rsidR="007F0300" w:rsidRDefault="00F25A8A">
      <w:pPr>
        <w:spacing w:line="360" w:lineRule="auto"/>
        <w:jc w:val="both"/>
        <w:rPr>
          <w:rFonts w:ascii="Arial" w:hAnsi="Arial" w:cs="Arial"/>
          <w:b/>
        </w:rPr>
      </w:pPr>
      <w:r>
        <w:rPr>
          <w:rFonts w:ascii="Arial" w:hAnsi="Arial" w:cs="Arial"/>
          <w:b/>
        </w:rPr>
        <w:lastRenderedPageBreak/>
        <w:t>Kapsam Dışı veya Sınırlı Değerlendirilecek Hususlar</w:t>
      </w:r>
    </w:p>
    <w:p w14:paraId="4DBD407E" w14:textId="77777777" w:rsidR="007F0300" w:rsidRDefault="00F25A8A">
      <w:pPr>
        <w:spacing w:line="360" w:lineRule="auto"/>
        <w:jc w:val="both"/>
        <w:rPr>
          <w:rFonts w:ascii="Arial" w:hAnsi="Arial" w:cs="Arial"/>
        </w:rPr>
      </w:pPr>
      <w:r>
        <w:rPr>
          <w:rFonts w:ascii="Arial" w:hAnsi="Arial" w:cs="Arial"/>
        </w:rPr>
        <w:t>Bu çağrı kapsamında ileri seviye aktif güdüm ve kontrol sistemlerinin fiziksel olarak uygulanması zorunlu değildir. İtki yönlendirme, aktif kontrol yüzeyleri veya benzeri ileri sistemler ancak teorik modelleme, simülasyon ve güvenlik analizi düzeyinde ele alınabilir. Uçuş testlerinin tümü, ilgili mevzuat, güvenlik prosedürleri, izin süreçleri ve BAP Komisyonu tarafından uygun görülen uygulama esasları çerçevesinde planlanmalıdır.</w:t>
      </w:r>
    </w:p>
    <w:p w14:paraId="705FEF06" w14:textId="77777777" w:rsidR="007F0300" w:rsidRDefault="00F25A8A">
      <w:pPr>
        <w:spacing w:line="360" w:lineRule="auto"/>
        <w:jc w:val="both"/>
        <w:rPr>
          <w:rFonts w:ascii="Arial" w:hAnsi="Arial" w:cs="Arial"/>
          <w:b/>
        </w:rPr>
      </w:pPr>
      <w:r>
        <w:rPr>
          <w:rFonts w:ascii="Arial" w:hAnsi="Arial" w:cs="Arial"/>
          <w:b/>
        </w:rPr>
        <w:t>Projenin Hedefleri</w:t>
      </w:r>
    </w:p>
    <w:p w14:paraId="2B619D6F" w14:textId="77777777" w:rsidR="007F0300" w:rsidRDefault="00F25A8A">
      <w:pPr>
        <w:spacing w:line="360" w:lineRule="auto"/>
        <w:jc w:val="both"/>
        <w:rPr>
          <w:rFonts w:ascii="Arial" w:hAnsi="Arial" w:cs="Arial"/>
        </w:rPr>
      </w:pPr>
      <w:r>
        <w:rPr>
          <w:rFonts w:ascii="Arial" w:hAnsi="Arial" w:cs="Arial"/>
        </w:rPr>
        <w:t>Bu çağrı kapsamında önerilecek projelerin aşağıdaki hedeflere hizmet etmesi beklenmektedir:</w:t>
      </w:r>
    </w:p>
    <w:p w14:paraId="5AE186A9"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Üniversite bünyesinde orta irtifa roket sistemlerine yönelik tasarım, analiz, simülasyon ve test yetkinliğinin artırılması</w:t>
      </w:r>
    </w:p>
    <w:p w14:paraId="18F7EB59"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Roket sisteminin aerodinamik, yapısal, aviyonik ve uçuş dinamiği alt bileşenlerinin bütüncül bir mühendislik çerçevesinde modellenmesi</w:t>
      </w:r>
    </w:p>
    <w:p w14:paraId="7A0C62A9"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Gerçek uçuş veya kontrollü test verileri ile doğrulanabilir 6-DOF uçuş simülasyon altyapısının oluşturulması</w:t>
      </w:r>
    </w:p>
    <w:p w14:paraId="4831E97A"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Düşük maliyetli ancak yüksek doğruluklu sensörlere dayalı uçuş bilgisayarı ve veri işleme altyapısının geliştirilmesi</w:t>
      </w:r>
    </w:p>
    <w:p w14:paraId="3DD6BF5E"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Risk analizi, güvenli test planı ve kalite standartlarının proje tasarım sürecine sistematik olarak entegre edilmesi</w:t>
      </w:r>
    </w:p>
    <w:p w14:paraId="72784F03"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Lisans ve lisansüstü öğrencilerinin sistem mühendisliği, sayısal modelleme, gömülü sistemler, veri analizi ve deneysel test alanlarında uygulamalı deneyim kazanması</w:t>
      </w:r>
    </w:p>
    <w:p w14:paraId="0C7C2C71"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Ulusal ve uluslararası yarışma, akademik yayın, patent/faydalı model ve üniversite-sanayi iş birliği potansiyelinin artırılması</w:t>
      </w:r>
    </w:p>
    <w:p w14:paraId="12C19264"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Gelecekteki havacılık-uzay ve savunma teknolojileri projeleri için sürdürülebilir, belgelenmiş ve ölçeklenebilir bir araştırma altyapısının kurulması</w:t>
      </w:r>
    </w:p>
    <w:p w14:paraId="2719C7AB" w14:textId="77777777" w:rsidR="007F0300" w:rsidRDefault="00F25A8A">
      <w:pPr>
        <w:spacing w:line="360" w:lineRule="auto"/>
        <w:jc w:val="both"/>
        <w:rPr>
          <w:rFonts w:ascii="Arial" w:hAnsi="Arial" w:cs="Arial"/>
          <w:b/>
        </w:rPr>
      </w:pPr>
      <w:r>
        <w:rPr>
          <w:rFonts w:ascii="Arial" w:hAnsi="Arial" w:cs="Arial"/>
          <w:b/>
        </w:rPr>
        <w:t>Beklenen Çıktılar ve İzleme Göstergeleri</w:t>
      </w:r>
    </w:p>
    <w:p w14:paraId="230DAD96" w14:textId="77777777" w:rsidR="007F0300" w:rsidRDefault="00F25A8A">
      <w:pPr>
        <w:spacing w:line="360" w:lineRule="auto"/>
        <w:jc w:val="both"/>
        <w:rPr>
          <w:rFonts w:ascii="Arial" w:hAnsi="Arial" w:cs="Arial"/>
        </w:rPr>
      </w:pPr>
      <w:r>
        <w:rPr>
          <w:rFonts w:ascii="Arial" w:hAnsi="Arial" w:cs="Arial"/>
        </w:rPr>
        <w:t>Başvuruların, sonuçları ölçülebilir ve izlenebilir biçimde tanımlaması beklenir. Bu kapsamda aşağıdaki çıktılar ve göstergeler dikkate alınacaktır:</w:t>
      </w:r>
    </w:p>
    <w:p w14:paraId="5EC90B63"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Sistem gereksinim dokümanı, tasarım raporu ve roket konfigürasyon dosyaları</w:t>
      </w:r>
    </w:p>
    <w:p w14:paraId="61C6C222"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CAD modelleri, aerodinamik analiz raporları, CFD/analitik yöntem karşılaştırmaları ve FEA raporları</w:t>
      </w:r>
    </w:p>
    <w:p w14:paraId="21128525"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6-DOF uçuş simülasyon modeli, uçuş senaryo çıktıları ve belirsizlik analizi sonuçları</w:t>
      </w:r>
    </w:p>
    <w:p w14:paraId="5E8A9A68"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Uçuş bilgisayarı, sensör kalibrasyon raporları, telemetri/veri kayıt altyapısı ve veri işleme yazılımları</w:t>
      </w:r>
    </w:p>
    <w:p w14:paraId="065269F1"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lastRenderedPageBreak/>
        <w:t>FMEA tablosu, hata ağacı analizi, risk azaltma planı ve güvenli test prosedürleri</w:t>
      </w:r>
    </w:p>
    <w:p w14:paraId="22B6F415"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Yer testleri ve uygun koşullar sağlandığında uçuş testlerinden elde edilen deneysel veri setleri</w:t>
      </w:r>
    </w:p>
    <w:p w14:paraId="5FBE7F93"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Simülasyon sonuçları ile deneysel veriler arasındaki uyumu gösteren doğrulama raporu</w:t>
      </w:r>
    </w:p>
    <w:p w14:paraId="2A312237"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Öğrenci katılımı, eğitim etkinlikleri, teknik dokümantasyon ve sürdürülebilir ekip çalışması çıktıları</w:t>
      </w:r>
    </w:p>
    <w:p w14:paraId="39FA5C77"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Ulusal/uluslararası konferans bildirisi, makale, yarışma başvurusu, patent/faydalı model veya iş birliği çıktıları</w:t>
      </w:r>
    </w:p>
    <w:p w14:paraId="54BA1BD1" w14:textId="77777777" w:rsidR="007F0300" w:rsidRDefault="00F25A8A">
      <w:pPr>
        <w:spacing w:line="360" w:lineRule="auto"/>
        <w:jc w:val="both"/>
        <w:rPr>
          <w:rFonts w:ascii="Arial" w:hAnsi="Arial" w:cs="Arial"/>
          <w:b/>
        </w:rPr>
      </w:pPr>
      <w:r>
        <w:rPr>
          <w:rFonts w:ascii="Arial" w:hAnsi="Arial" w:cs="Arial"/>
          <w:b/>
        </w:rPr>
        <w:t>Güdümlü Proje Öncelikli Alanı ve SKA İlişkisi</w:t>
      </w:r>
    </w:p>
    <w:p w14:paraId="02CA11EC" w14:textId="77777777" w:rsidR="007F0300" w:rsidRDefault="00F25A8A">
      <w:pPr>
        <w:spacing w:line="360" w:lineRule="auto"/>
        <w:jc w:val="both"/>
        <w:rPr>
          <w:rFonts w:ascii="Arial" w:hAnsi="Arial" w:cs="Arial"/>
        </w:rPr>
      </w:pPr>
      <w:r>
        <w:rPr>
          <w:rFonts w:ascii="Arial" w:hAnsi="Arial" w:cs="Arial"/>
        </w:rPr>
        <w:t>Bu çağrı kapsamında yapılacak projelerin, Birleşmiş Milletler Sürdürülebilir Kalkınma Amaçları (SKA) ile ilişkili olması beklenmektedir. Özellikle aşağıdaki amaçlarla doğrudan ilişkili projelere öncelik verilecektir:</w:t>
      </w:r>
    </w:p>
    <w:p w14:paraId="1D1E3AEA"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SKA 4: Nitelikli Eğitim (uygulamalı mühendislik eğitimi, öğrenci katılımının artırılması ve araştırma becerilerinin geliştirilmesi)</w:t>
      </w:r>
    </w:p>
    <w:p w14:paraId="2BC6F4FC"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SKA 9: Sanayi, Yenilikçilik ve Altyapı (yenilikçi mühendislik çözümlerinin geliştirilmesi, araştırma altyapısının güçlendirilmesi ve teknolojik kapasitenin artırılması)</w:t>
      </w:r>
    </w:p>
    <w:p w14:paraId="0AB12717"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SKA 17: Amaçlar için Ortaklıklar (üniversite-sanayi, öğrenci toplulukları ve disiplinler arası araştırma ekipleri arasında iş birliği ortamlarının oluşturulması)</w:t>
      </w:r>
    </w:p>
    <w:p w14:paraId="49355208" w14:textId="77777777" w:rsidR="007F0300" w:rsidRDefault="00F25A8A">
      <w:pPr>
        <w:spacing w:line="360" w:lineRule="auto"/>
        <w:jc w:val="both"/>
        <w:rPr>
          <w:rFonts w:ascii="Arial" w:hAnsi="Arial" w:cs="Arial"/>
          <w:b/>
        </w:rPr>
      </w:pPr>
      <w:r>
        <w:rPr>
          <w:rFonts w:ascii="Arial" w:hAnsi="Arial" w:cs="Arial"/>
          <w:b/>
        </w:rPr>
        <w:t>Başvuru Koşulları</w:t>
      </w:r>
    </w:p>
    <w:p w14:paraId="1D98CAFC"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Başvurular, Yozgat Bozok Üniversitesi BAP mevzuatı, ilgili yıl BAP Uygulama Esasları ve Güdümlü Proje ilkeleri doğrultusunda yapılır.</w:t>
      </w:r>
    </w:p>
    <w:p w14:paraId="09AFE35E"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Proje ekibinin, çağrı kapsamındaki teknik başlıkları yürütebilecek akademik ve uygulamalı yetkinliğe sahip olması beklenir.</w:t>
      </w:r>
    </w:p>
    <w:p w14:paraId="3BB23B01"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Başvuruların yöntem, iş paketi, risk yönetimi, altyapı kullanımı, bütçe gerekçesi ve başarı ölçütleri bakımından açık ve izlenebilir biçimde hazırlanması gerekir.</w:t>
      </w:r>
    </w:p>
    <w:p w14:paraId="3F8E757F" w14:textId="77777777" w:rsidR="007F0300" w:rsidRDefault="00F25A8A">
      <w:pPr>
        <w:pStyle w:val="ListeParagraf"/>
        <w:numPr>
          <w:ilvl w:val="0"/>
          <w:numId w:val="1"/>
        </w:numPr>
        <w:spacing w:line="360" w:lineRule="auto"/>
        <w:jc w:val="both"/>
        <w:rPr>
          <w:rFonts w:ascii="Arial" w:hAnsi="Arial" w:cs="Arial"/>
        </w:rPr>
      </w:pPr>
      <w:r>
        <w:rPr>
          <w:rFonts w:ascii="Arial" w:hAnsi="Arial" w:cs="Arial"/>
        </w:rPr>
        <w:t>Projelerde lisans ve/veya lisansüstü öğrenci katılımının sağlanması, eğitim ve insan kaynağı gelişimi açısından olumlu değerlendirilir.</w:t>
      </w:r>
    </w:p>
    <w:p w14:paraId="64CFFCD9" w14:textId="6BF82EEA" w:rsidR="00F25A8A" w:rsidRPr="00BF3229" w:rsidRDefault="00F25A8A" w:rsidP="00BF3229">
      <w:pPr>
        <w:pStyle w:val="ListeParagraf"/>
        <w:numPr>
          <w:ilvl w:val="0"/>
          <w:numId w:val="1"/>
        </w:numPr>
        <w:spacing w:line="360" w:lineRule="auto"/>
        <w:jc w:val="both"/>
        <w:rPr>
          <w:rFonts w:ascii="Arial" w:hAnsi="Arial" w:cs="Arial"/>
        </w:rPr>
      </w:pPr>
      <w:r>
        <w:rPr>
          <w:rFonts w:ascii="Arial" w:hAnsi="Arial" w:cs="Arial"/>
        </w:rPr>
        <w:t>Uçuş testleri, saha uygulamaları ve güvenlik açısından izin gerektiren tüm süreçler için ilgili mevzuat ve kurum izinleri başvuru veya uygulama aşamasında tamamlanmalıdır.</w:t>
      </w:r>
    </w:p>
    <w:p w14:paraId="6F8178C2" w14:textId="77777777" w:rsidR="00BF3229" w:rsidRDefault="00BF3229">
      <w:pPr>
        <w:spacing w:line="360" w:lineRule="auto"/>
        <w:jc w:val="both"/>
        <w:rPr>
          <w:rFonts w:ascii="Arial" w:hAnsi="Arial" w:cs="Arial"/>
          <w:b/>
        </w:rPr>
      </w:pPr>
    </w:p>
    <w:p w14:paraId="615512A6" w14:textId="77777777" w:rsidR="00BF3229" w:rsidRDefault="00BF3229">
      <w:pPr>
        <w:spacing w:line="360" w:lineRule="auto"/>
        <w:jc w:val="both"/>
        <w:rPr>
          <w:rFonts w:ascii="Arial" w:hAnsi="Arial" w:cs="Arial"/>
          <w:b/>
        </w:rPr>
      </w:pPr>
    </w:p>
    <w:p w14:paraId="3DDBFE8C" w14:textId="77777777" w:rsidR="00BF3229" w:rsidRDefault="00BF3229">
      <w:pPr>
        <w:spacing w:line="360" w:lineRule="auto"/>
        <w:jc w:val="both"/>
        <w:rPr>
          <w:rFonts w:ascii="Arial" w:hAnsi="Arial" w:cs="Arial"/>
          <w:b/>
        </w:rPr>
      </w:pPr>
    </w:p>
    <w:p w14:paraId="0FA9FF85" w14:textId="17B96172" w:rsidR="007F0300" w:rsidRDefault="00F25A8A">
      <w:pPr>
        <w:spacing w:line="360" w:lineRule="auto"/>
        <w:jc w:val="both"/>
        <w:rPr>
          <w:rFonts w:ascii="Arial" w:hAnsi="Arial" w:cs="Arial"/>
          <w:b/>
        </w:rPr>
      </w:pPr>
      <w:r>
        <w:rPr>
          <w:rFonts w:ascii="Arial" w:hAnsi="Arial" w:cs="Arial"/>
          <w:b/>
        </w:rPr>
        <w:lastRenderedPageBreak/>
        <w:t>Destek İlkeleri</w:t>
      </w:r>
    </w:p>
    <w:p w14:paraId="7BB99B02" w14:textId="77777777" w:rsidR="00F25A8A" w:rsidRDefault="00F25A8A" w:rsidP="00F25A8A">
      <w:pPr>
        <w:spacing w:line="360" w:lineRule="auto"/>
        <w:jc w:val="both"/>
        <w:rPr>
          <w:rFonts w:ascii="Arial" w:hAnsi="Arial" w:cs="Arial"/>
        </w:rPr>
      </w:pPr>
      <w:r w:rsidRPr="00F25A8A">
        <w:rPr>
          <w:rFonts w:ascii="Arial" w:hAnsi="Arial" w:cs="Arial"/>
          <w:b/>
        </w:rPr>
        <w:t>Başvuru Tarihleri:</w:t>
      </w:r>
      <w:r>
        <w:rPr>
          <w:rFonts w:ascii="Arial" w:hAnsi="Arial" w:cs="Arial"/>
        </w:rPr>
        <w:t xml:space="preserve"> 16 Temmuz- 30 Temmuz 2026</w:t>
      </w:r>
    </w:p>
    <w:p w14:paraId="5FA1AF25" w14:textId="77777777" w:rsidR="007F0300" w:rsidRDefault="00F25A8A">
      <w:pPr>
        <w:spacing w:line="360" w:lineRule="auto"/>
        <w:jc w:val="both"/>
        <w:rPr>
          <w:rFonts w:ascii="Arial" w:hAnsi="Arial" w:cs="Arial"/>
        </w:rPr>
      </w:pPr>
      <w:r w:rsidRPr="00F25A8A">
        <w:rPr>
          <w:rFonts w:ascii="Arial" w:hAnsi="Arial" w:cs="Arial"/>
          <w:b/>
        </w:rPr>
        <w:t>Proje Süresi:</w:t>
      </w:r>
      <w:r>
        <w:rPr>
          <w:rFonts w:ascii="Arial" w:hAnsi="Arial" w:cs="Arial"/>
        </w:rPr>
        <w:t xml:space="preserve"> En fazla 36 ay olmak üzere Komisyon tarafından belirlenir.</w:t>
      </w:r>
    </w:p>
    <w:p w14:paraId="58C90C49" w14:textId="725757BA" w:rsidR="007F0300" w:rsidRDefault="00F25A8A">
      <w:pPr>
        <w:spacing w:line="360" w:lineRule="auto"/>
        <w:jc w:val="both"/>
        <w:rPr>
          <w:rFonts w:ascii="Arial" w:hAnsi="Arial" w:cs="Arial"/>
        </w:rPr>
      </w:pPr>
      <w:r w:rsidRPr="00F25A8A">
        <w:rPr>
          <w:rFonts w:ascii="Arial" w:hAnsi="Arial" w:cs="Arial"/>
          <w:b/>
        </w:rPr>
        <w:t>Proje Bütçe Limiti:</w:t>
      </w:r>
      <w:r>
        <w:rPr>
          <w:rFonts w:ascii="Arial" w:hAnsi="Arial" w:cs="Arial"/>
        </w:rPr>
        <w:t xml:space="preserve"> </w:t>
      </w:r>
      <w:r w:rsidR="00663D33">
        <w:rPr>
          <w:rFonts w:ascii="Arial" w:hAnsi="Arial" w:cs="Arial"/>
        </w:rPr>
        <w:t>1</w:t>
      </w:r>
      <w:r>
        <w:rPr>
          <w:rFonts w:ascii="Arial" w:hAnsi="Arial" w:cs="Arial"/>
        </w:rPr>
        <w:t>.</w:t>
      </w:r>
      <w:r w:rsidR="00663D33">
        <w:rPr>
          <w:rFonts w:ascii="Arial" w:hAnsi="Arial" w:cs="Arial"/>
        </w:rPr>
        <w:t>5</w:t>
      </w:r>
      <w:r>
        <w:rPr>
          <w:rFonts w:ascii="Arial" w:hAnsi="Arial" w:cs="Arial"/>
        </w:rPr>
        <w:t>00.000 TL. Gerektiğinde limitin %50’si kadar artırılması Komisyon değerlendirmesine tabidir.</w:t>
      </w:r>
    </w:p>
    <w:p w14:paraId="4F0C9900" w14:textId="1A23F2B1" w:rsidR="007F0300" w:rsidRDefault="00F25A8A">
      <w:pPr>
        <w:spacing w:line="360" w:lineRule="auto"/>
        <w:jc w:val="both"/>
        <w:rPr>
          <w:rFonts w:ascii="Arial" w:hAnsi="Arial" w:cs="Arial"/>
        </w:rPr>
      </w:pPr>
      <w:r w:rsidRPr="00F25A8A">
        <w:rPr>
          <w:rFonts w:ascii="Arial" w:hAnsi="Arial" w:cs="Arial"/>
          <w:b/>
        </w:rPr>
        <w:t>Değerlendirme:</w:t>
      </w:r>
      <w:r>
        <w:rPr>
          <w:rFonts w:ascii="Arial" w:hAnsi="Arial" w:cs="Arial"/>
        </w:rPr>
        <w:t xml:space="preserve"> Başvurular, BAP Komisyonu tarafından değerlendirilerek karara bağlanır.</w:t>
      </w:r>
    </w:p>
    <w:p w14:paraId="315677AF" w14:textId="77777777" w:rsidR="007F0300" w:rsidRDefault="00F25A8A">
      <w:pPr>
        <w:spacing w:line="360" w:lineRule="auto"/>
        <w:jc w:val="both"/>
        <w:rPr>
          <w:rFonts w:ascii="Arial" w:hAnsi="Arial" w:cs="Arial"/>
        </w:rPr>
      </w:pPr>
      <w:r>
        <w:rPr>
          <w:rFonts w:ascii="Arial" w:hAnsi="Arial" w:cs="Arial"/>
        </w:rPr>
        <w:t>Yürütme: Proje yürütücüleri, projenin başlamasını müteakip 6 aylık dönemlerin sonunda projedeki gelişmeleri içeren ara raporlarını Proje Süreçleri Yönetim Sistemi üzerinden BAP Koordinasyon Birimine sunmakla yükümlüdür. Proje sonuç raporu ise proje protokolünde belirtilen bitiş tarihini izleyen en geç 3 ay içerisinde Proje Süreçleri Yönetim Sistemi aracılığı ile BAP Koordinasyon Birimine sunulur. Sonuç raporu, BAP Komisyonu tarafından karara bağlanır. Ancak Komisyon gerekli gördüğü durumlarda hakemlerin görüşlerine de başvurarak projenin başarılı sayılıp sayılmayacağına karar verebilir.</w:t>
      </w:r>
    </w:p>
    <w:p w14:paraId="5D3A3084" w14:textId="77777777" w:rsidR="007F0300" w:rsidRDefault="00F25A8A">
      <w:pPr>
        <w:spacing w:line="360" w:lineRule="auto"/>
        <w:jc w:val="both"/>
        <w:rPr>
          <w:rFonts w:ascii="Arial" w:hAnsi="Arial" w:cs="Arial"/>
        </w:rPr>
      </w:pPr>
      <w:r w:rsidRPr="00C82C41">
        <w:rPr>
          <w:rFonts w:ascii="Arial" w:hAnsi="Arial" w:cs="Arial"/>
          <w:b/>
        </w:rPr>
        <w:t>Proje kapatma koşulu:</w:t>
      </w:r>
      <w:r>
        <w:rPr>
          <w:rFonts w:ascii="Arial" w:hAnsi="Arial" w:cs="Arial"/>
        </w:rPr>
        <w:t xml:space="preserve"> Proje ile üniversitemizin stratejik hedeflerine uygun yeni araştırma altyapılarının oluşturulması söz konusu olduğundan, kapatma koşulu Komisyon tarafından değerlendirilecektir.</w:t>
      </w:r>
    </w:p>
    <w:p w14:paraId="1C641DC8" w14:textId="77777777" w:rsidR="007F0300" w:rsidRDefault="00F25A8A">
      <w:pPr>
        <w:spacing w:line="360" w:lineRule="auto"/>
        <w:jc w:val="both"/>
        <w:rPr>
          <w:rFonts w:ascii="Arial" w:hAnsi="Arial" w:cs="Arial"/>
        </w:rPr>
      </w:pPr>
      <w:r>
        <w:rPr>
          <w:rFonts w:ascii="Arial" w:hAnsi="Arial" w:cs="Arial"/>
        </w:rPr>
        <w:t>Desteklenen projelerin sonuçlarının proje sonuçlandıktan sonra en geç bir yıl içinde Science Citation Index-Expanded (SCI-E), Social Science Citation Index (SSCI), Arts and Humanities Citation Index (AHCI), TRDizin veya SPORTDiscus indeksleri kapsamında yer alan dergilerde tam metin makale olarak yayımlanması beklenir. Yürütücüye gerekçesinin Komisyonca uygun görülmesi halinde yayın için 12 ay ek süre verilir.</w:t>
      </w:r>
    </w:p>
    <w:p w14:paraId="47D755BA" w14:textId="38942324" w:rsidR="007F0300" w:rsidRPr="00075888" w:rsidRDefault="00F25A8A">
      <w:pPr>
        <w:spacing w:line="360" w:lineRule="auto"/>
        <w:jc w:val="both"/>
        <w:rPr>
          <w:rFonts w:ascii="Arial" w:hAnsi="Arial" w:cs="Arial"/>
        </w:rPr>
      </w:pPr>
      <w:r w:rsidRPr="00075888">
        <w:rPr>
          <w:rFonts w:ascii="Arial" w:hAnsi="Arial" w:cs="Arial"/>
        </w:rPr>
        <w:t>Sonuçlarından patent ya da alanında ulusla</w:t>
      </w:r>
      <w:r w:rsidR="00C82C41" w:rsidRPr="00075888">
        <w:rPr>
          <w:rFonts w:ascii="Arial" w:hAnsi="Arial" w:cs="Arial"/>
        </w:rPr>
        <w:t>rarası veya ulusal yarışmalara katılarak derece/</w:t>
      </w:r>
      <w:r w:rsidRPr="00075888">
        <w:rPr>
          <w:rFonts w:ascii="Arial" w:hAnsi="Arial" w:cs="Arial"/>
        </w:rPr>
        <w:t>ödül alınmış projeler için yayın gerçekleştirilmesi şartı aranmaz.</w:t>
      </w:r>
    </w:p>
    <w:p w14:paraId="2B0092C5" w14:textId="77777777" w:rsidR="007F0300" w:rsidRDefault="00F25A8A">
      <w:pPr>
        <w:spacing w:line="360" w:lineRule="auto"/>
        <w:jc w:val="both"/>
        <w:rPr>
          <w:rFonts w:ascii="Arial" w:hAnsi="Arial" w:cs="Arial"/>
        </w:rPr>
      </w:pPr>
      <w:r>
        <w:rPr>
          <w:rFonts w:ascii="Arial" w:hAnsi="Arial" w:cs="Arial"/>
        </w:rPr>
        <w:t>Bu çağrıda yer almayan hususlarda ilgili Yönetmelik, Yönerge ve ilgili yılın BAP Uygulama Esaslarında Güdümlü Projeler için belirlenen ilkeler uygulanır. İlgili Yönerge ve Uygulama Esaslarında yer almayan hususlarda ise Yönetmelik hükümleri dikkate alınarak BAP Komisyonu tarafından karar verilir.</w:t>
      </w:r>
    </w:p>
    <w:sectPr w:rsidR="007F03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6038B"/>
    <w:multiLevelType w:val="hybridMultilevel"/>
    <w:tmpl w:val="300CAB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B245EFD"/>
    <w:multiLevelType w:val="hybridMultilevel"/>
    <w:tmpl w:val="DAB4D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5461C89"/>
    <w:multiLevelType w:val="multilevel"/>
    <w:tmpl w:val="AECA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87374"/>
    <w:multiLevelType w:val="hybridMultilevel"/>
    <w:tmpl w:val="E550B8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AFF0B05"/>
    <w:multiLevelType w:val="hybridMultilevel"/>
    <w:tmpl w:val="E592C62E"/>
    <w:lvl w:ilvl="0" w:tplc="DBBEB7FA">
      <w:start w:val="2025"/>
      <w:numFmt w:val="bullet"/>
      <w:lvlText w:val=""/>
      <w:lvlJc w:val="left"/>
      <w:pPr>
        <w:ind w:left="720" w:hanging="360"/>
      </w:pPr>
      <w:rPr>
        <w:rFonts w:ascii="Tahoma" w:hAnsi="Tahom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25"/>
    <w:rsid w:val="00071A25"/>
    <w:rsid w:val="00075888"/>
    <w:rsid w:val="000C0F37"/>
    <w:rsid w:val="00103E66"/>
    <w:rsid w:val="00115542"/>
    <w:rsid w:val="001962C3"/>
    <w:rsid w:val="001B73C2"/>
    <w:rsid w:val="00663D33"/>
    <w:rsid w:val="007F0300"/>
    <w:rsid w:val="007F4378"/>
    <w:rsid w:val="009B3015"/>
    <w:rsid w:val="00A64146"/>
    <w:rsid w:val="00A65F64"/>
    <w:rsid w:val="00A8566A"/>
    <w:rsid w:val="00BC0B4F"/>
    <w:rsid w:val="00BF3229"/>
    <w:rsid w:val="00C82C41"/>
    <w:rsid w:val="00C95372"/>
    <w:rsid w:val="00F25A8A"/>
    <w:rsid w:val="00F305C5"/>
    <w:rsid w:val="00FA4F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CCDC9"/>
  <w15:docId w15:val="{D92F7EFB-E43E-47F6-9636-10898856A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Balk1">
    <w:name w:val="heading 1"/>
    <w:basedOn w:val="Normal"/>
    <w:next w:val="Normal"/>
    <w:link w:val="Balk1Char"/>
    <w:uiPriority w:val="9"/>
    <w:qFormat/>
    <w:rsid w:val="00071A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71A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71A2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71A2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71A2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71A2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71A2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71A2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71A2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71A25"/>
    <w:rPr>
      <w:rFonts w:asciiTheme="majorHAnsi" w:eastAsiaTheme="majorEastAsia" w:hAnsiTheme="majorHAnsi" w:cstheme="majorBidi"/>
      <w:noProof/>
      <w:color w:val="0F4761" w:themeColor="accent1" w:themeShade="BF"/>
      <w:sz w:val="40"/>
      <w:szCs w:val="40"/>
    </w:rPr>
  </w:style>
  <w:style w:type="character" w:customStyle="1" w:styleId="Balk2Char">
    <w:name w:val="Başlık 2 Char"/>
    <w:basedOn w:val="VarsaylanParagrafYazTipi"/>
    <w:link w:val="Balk2"/>
    <w:uiPriority w:val="9"/>
    <w:semiHidden/>
    <w:rsid w:val="00071A25"/>
    <w:rPr>
      <w:rFonts w:asciiTheme="majorHAnsi" w:eastAsiaTheme="majorEastAsia" w:hAnsiTheme="majorHAnsi" w:cstheme="majorBidi"/>
      <w:noProof/>
      <w:color w:val="0F4761" w:themeColor="accent1" w:themeShade="BF"/>
      <w:sz w:val="32"/>
      <w:szCs w:val="32"/>
    </w:rPr>
  </w:style>
  <w:style w:type="character" w:customStyle="1" w:styleId="Balk3Char">
    <w:name w:val="Başlık 3 Char"/>
    <w:basedOn w:val="VarsaylanParagrafYazTipi"/>
    <w:link w:val="Balk3"/>
    <w:uiPriority w:val="9"/>
    <w:semiHidden/>
    <w:rsid w:val="00071A25"/>
    <w:rPr>
      <w:rFonts w:eastAsiaTheme="majorEastAsia" w:cstheme="majorBidi"/>
      <w:noProof/>
      <w:color w:val="0F4761" w:themeColor="accent1" w:themeShade="BF"/>
      <w:sz w:val="28"/>
      <w:szCs w:val="28"/>
    </w:rPr>
  </w:style>
  <w:style w:type="character" w:customStyle="1" w:styleId="Balk4Char">
    <w:name w:val="Başlık 4 Char"/>
    <w:basedOn w:val="VarsaylanParagrafYazTipi"/>
    <w:link w:val="Balk4"/>
    <w:uiPriority w:val="9"/>
    <w:semiHidden/>
    <w:rsid w:val="00071A25"/>
    <w:rPr>
      <w:rFonts w:eastAsiaTheme="majorEastAsia" w:cstheme="majorBidi"/>
      <w:i/>
      <w:iCs/>
      <w:noProof/>
      <w:color w:val="0F4761" w:themeColor="accent1" w:themeShade="BF"/>
    </w:rPr>
  </w:style>
  <w:style w:type="character" w:customStyle="1" w:styleId="Balk5Char">
    <w:name w:val="Başlık 5 Char"/>
    <w:basedOn w:val="VarsaylanParagrafYazTipi"/>
    <w:link w:val="Balk5"/>
    <w:uiPriority w:val="9"/>
    <w:semiHidden/>
    <w:rsid w:val="00071A25"/>
    <w:rPr>
      <w:rFonts w:eastAsiaTheme="majorEastAsia" w:cstheme="majorBidi"/>
      <w:noProof/>
      <w:color w:val="0F4761" w:themeColor="accent1" w:themeShade="BF"/>
    </w:rPr>
  </w:style>
  <w:style w:type="character" w:customStyle="1" w:styleId="Balk6Char">
    <w:name w:val="Başlık 6 Char"/>
    <w:basedOn w:val="VarsaylanParagrafYazTipi"/>
    <w:link w:val="Balk6"/>
    <w:uiPriority w:val="9"/>
    <w:semiHidden/>
    <w:rsid w:val="00071A25"/>
    <w:rPr>
      <w:rFonts w:eastAsiaTheme="majorEastAsia" w:cstheme="majorBidi"/>
      <w:i/>
      <w:iCs/>
      <w:noProof/>
      <w:color w:val="595959" w:themeColor="text1" w:themeTint="A6"/>
    </w:rPr>
  </w:style>
  <w:style w:type="character" w:customStyle="1" w:styleId="Balk7Char">
    <w:name w:val="Başlık 7 Char"/>
    <w:basedOn w:val="VarsaylanParagrafYazTipi"/>
    <w:link w:val="Balk7"/>
    <w:uiPriority w:val="9"/>
    <w:semiHidden/>
    <w:rsid w:val="00071A25"/>
    <w:rPr>
      <w:rFonts w:eastAsiaTheme="majorEastAsia" w:cstheme="majorBidi"/>
      <w:noProof/>
      <w:color w:val="595959" w:themeColor="text1" w:themeTint="A6"/>
    </w:rPr>
  </w:style>
  <w:style w:type="character" w:customStyle="1" w:styleId="Balk8Char">
    <w:name w:val="Başlık 8 Char"/>
    <w:basedOn w:val="VarsaylanParagrafYazTipi"/>
    <w:link w:val="Balk8"/>
    <w:uiPriority w:val="9"/>
    <w:semiHidden/>
    <w:rsid w:val="00071A25"/>
    <w:rPr>
      <w:rFonts w:eastAsiaTheme="majorEastAsia" w:cstheme="majorBidi"/>
      <w:i/>
      <w:iCs/>
      <w:noProof/>
      <w:color w:val="272727" w:themeColor="text1" w:themeTint="D8"/>
    </w:rPr>
  </w:style>
  <w:style w:type="character" w:customStyle="1" w:styleId="Balk9Char">
    <w:name w:val="Başlık 9 Char"/>
    <w:basedOn w:val="VarsaylanParagrafYazTipi"/>
    <w:link w:val="Balk9"/>
    <w:uiPriority w:val="9"/>
    <w:semiHidden/>
    <w:rsid w:val="00071A25"/>
    <w:rPr>
      <w:rFonts w:eastAsiaTheme="majorEastAsia" w:cstheme="majorBidi"/>
      <w:noProof/>
      <w:color w:val="272727" w:themeColor="text1" w:themeTint="D8"/>
    </w:rPr>
  </w:style>
  <w:style w:type="paragraph" w:styleId="KonuBal">
    <w:name w:val="Title"/>
    <w:basedOn w:val="Normal"/>
    <w:next w:val="Normal"/>
    <w:link w:val="KonuBalChar"/>
    <w:uiPriority w:val="10"/>
    <w:qFormat/>
    <w:rsid w:val="00071A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71A25"/>
    <w:rPr>
      <w:rFonts w:asciiTheme="majorHAnsi" w:eastAsiaTheme="majorEastAsia" w:hAnsiTheme="majorHAnsi" w:cstheme="majorBidi"/>
      <w:noProof/>
      <w:spacing w:val="-10"/>
      <w:kern w:val="28"/>
      <w:sz w:val="56"/>
      <w:szCs w:val="56"/>
    </w:rPr>
  </w:style>
  <w:style w:type="paragraph" w:styleId="Altyaz">
    <w:name w:val="Subtitle"/>
    <w:basedOn w:val="Normal"/>
    <w:next w:val="Normal"/>
    <w:link w:val="AltyazChar"/>
    <w:uiPriority w:val="11"/>
    <w:qFormat/>
    <w:rsid w:val="00071A2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71A25"/>
    <w:rPr>
      <w:rFonts w:eastAsiaTheme="majorEastAsia" w:cstheme="majorBidi"/>
      <w:noProof/>
      <w:color w:val="595959" w:themeColor="text1" w:themeTint="A6"/>
      <w:spacing w:val="15"/>
      <w:sz w:val="28"/>
      <w:szCs w:val="28"/>
    </w:rPr>
  </w:style>
  <w:style w:type="paragraph" w:styleId="Alnt">
    <w:name w:val="Quote"/>
    <w:basedOn w:val="Normal"/>
    <w:next w:val="Normal"/>
    <w:link w:val="AlntChar"/>
    <w:uiPriority w:val="29"/>
    <w:qFormat/>
    <w:rsid w:val="00071A2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71A25"/>
    <w:rPr>
      <w:i/>
      <w:iCs/>
      <w:noProof/>
      <w:color w:val="404040" w:themeColor="text1" w:themeTint="BF"/>
    </w:rPr>
  </w:style>
  <w:style w:type="paragraph" w:styleId="ListeParagraf">
    <w:name w:val="List Paragraph"/>
    <w:basedOn w:val="Normal"/>
    <w:uiPriority w:val="34"/>
    <w:qFormat/>
    <w:rsid w:val="00071A25"/>
    <w:pPr>
      <w:ind w:left="720"/>
      <w:contextualSpacing/>
    </w:pPr>
  </w:style>
  <w:style w:type="character" w:styleId="GlVurgulama">
    <w:name w:val="Intense Emphasis"/>
    <w:basedOn w:val="VarsaylanParagrafYazTipi"/>
    <w:uiPriority w:val="21"/>
    <w:qFormat/>
    <w:rsid w:val="00071A25"/>
    <w:rPr>
      <w:i/>
      <w:iCs/>
      <w:color w:val="0F4761" w:themeColor="accent1" w:themeShade="BF"/>
    </w:rPr>
  </w:style>
  <w:style w:type="paragraph" w:styleId="GlAlnt">
    <w:name w:val="Intense Quote"/>
    <w:basedOn w:val="Normal"/>
    <w:next w:val="Normal"/>
    <w:link w:val="GlAlntChar"/>
    <w:uiPriority w:val="30"/>
    <w:qFormat/>
    <w:rsid w:val="00071A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71A25"/>
    <w:rPr>
      <w:i/>
      <w:iCs/>
      <w:noProof/>
      <w:color w:val="0F4761" w:themeColor="accent1" w:themeShade="BF"/>
    </w:rPr>
  </w:style>
  <w:style w:type="character" w:styleId="GlBavuru">
    <w:name w:val="Intense Reference"/>
    <w:basedOn w:val="VarsaylanParagrafYazTipi"/>
    <w:uiPriority w:val="32"/>
    <w:qFormat/>
    <w:rsid w:val="00071A2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2551">
      <w:bodyDiv w:val="1"/>
      <w:marLeft w:val="0"/>
      <w:marRight w:val="0"/>
      <w:marTop w:val="0"/>
      <w:marBottom w:val="0"/>
      <w:divBdr>
        <w:top w:val="none" w:sz="0" w:space="0" w:color="auto"/>
        <w:left w:val="none" w:sz="0" w:space="0" w:color="auto"/>
        <w:bottom w:val="none" w:sz="0" w:space="0" w:color="auto"/>
        <w:right w:val="none" w:sz="0" w:space="0" w:color="auto"/>
      </w:divBdr>
    </w:div>
    <w:div w:id="152377517">
      <w:bodyDiv w:val="1"/>
      <w:marLeft w:val="0"/>
      <w:marRight w:val="0"/>
      <w:marTop w:val="0"/>
      <w:marBottom w:val="0"/>
      <w:divBdr>
        <w:top w:val="none" w:sz="0" w:space="0" w:color="auto"/>
        <w:left w:val="none" w:sz="0" w:space="0" w:color="auto"/>
        <w:bottom w:val="none" w:sz="0" w:space="0" w:color="auto"/>
        <w:right w:val="none" w:sz="0" w:space="0" w:color="auto"/>
      </w:divBdr>
    </w:div>
    <w:div w:id="169569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E451604D6AD9F4D942C09604A6485FA" ma:contentTypeVersion="9" ma:contentTypeDescription="Yeni belge oluşturun." ma:contentTypeScope="" ma:versionID="7db028b0ffd901497b1dc9aaeac7050c">
  <xsd:schema xmlns:xsd="http://www.w3.org/2001/XMLSchema" xmlns:xs="http://www.w3.org/2001/XMLSchema" xmlns:p="http://schemas.microsoft.com/office/2006/metadata/properties" xmlns:ns3="27af573a-e1bf-42e5-b23c-f1d64a5804a1" xmlns:ns4="f9668550-425b-4f0a-8375-1c917f4bb80b" targetNamespace="http://schemas.microsoft.com/office/2006/metadata/properties" ma:root="true" ma:fieldsID="b4a78fa1f7f4cb5a0a3ca34ef5842a90" ns3:_="" ns4:_="">
    <xsd:import namespace="27af573a-e1bf-42e5-b23c-f1d64a5804a1"/>
    <xsd:import namespace="f9668550-425b-4f0a-8375-1c917f4bb80b"/>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f573a-e1bf-42e5-b23c-f1d64a5804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68550-425b-4f0a-8375-1c917f4bb80b"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af573a-e1bf-42e5-b23c-f1d64a5804a1" xsi:nil="true"/>
  </documentManagement>
</p:properties>
</file>

<file path=customXml/itemProps1.xml><?xml version="1.0" encoding="utf-8"?>
<ds:datastoreItem xmlns:ds="http://schemas.openxmlformats.org/officeDocument/2006/customXml" ds:itemID="{58800F1C-80D2-476C-A455-0968B7F43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f573a-e1bf-42e5-b23c-f1d64a5804a1"/>
    <ds:schemaRef ds:uri="f9668550-425b-4f0a-8375-1c917f4bb8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40FD56-7685-48FE-892E-0D24E6036382}">
  <ds:schemaRefs>
    <ds:schemaRef ds:uri="http://schemas.microsoft.com/sharepoint/v3/contenttype/forms"/>
  </ds:schemaRefs>
</ds:datastoreItem>
</file>

<file path=customXml/itemProps3.xml><?xml version="1.0" encoding="utf-8"?>
<ds:datastoreItem xmlns:ds="http://schemas.openxmlformats.org/officeDocument/2006/customXml" ds:itemID="{9429075B-B21E-42EF-84D0-7F64A4914E8F}">
  <ds:schemaRefs>
    <ds:schemaRef ds:uri="http://schemas.microsoft.com/office/2006/metadata/properties"/>
    <ds:schemaRef ds:uri="http://schemas.microsoft.com/office/infopath/2007/PartnerControls"/>
    <ds:schemaRef ds:uri="27af573a-e1bf-42e5-b23c-f1d64a5804a1"/>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1534</Words>
  <Characters>8749</Characters>
  <Application>Microsoft Office Word</Application>
  <DocSecurity>0</DocSecurity>
  <Lines>72</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Casper</cp:lastModifiedBy>
  <cp:revision>8</cp:revision>
  <dcterms:created xsi:type="dcterms:W3CDTF">2026-07-14T11:29:00Z</dcterms:created>
  <dcterms:modified xsi:type="dcterms:W3CDTF">2026-07-16T07:27:00Z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0x010100FE451604D6AD9F4D942C09604A6485FA</vt:lpwstr>
  </property>
</Properties>
</file>