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6700"/>
        <w:gridCol w:w="1472"/>
        <w:gridCol w:w="1276"/>
      </w:tblGrid>
      <w:tr w:rsidR="0060492C" w:rsidRPr="00335DF3" w:rsidTr="0060492C">
        <w:trPr>
          <w:trHeight w:val="637"/>
        </w:trPr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33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FİZİKİ KOŞULLAR, ARAÇ GEREÇLER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2C" w:rsidRPr="00335DF3" w:rsidRDefault="0060492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2C" w:rsidRPr="00335DF3" w:rsidRDefault="0060492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HAYIR</w:t>
            </w:r>
          </w:p>
        </w:tc>
      </w:tr>
      <w:tr w:rsidR="0060492C" w:rsidRPr="00335DF3" w:rsidTr="00C03DB9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2C" w:rsidRPr="00335DF3" w:rsidRDefault="0060492C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2C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Zemin, tavan ve duvarların temiz ve bakımlı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2C" w:rsidRPr="00335DF3" w:rsidRDefault="0060492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2C" w:rsidRPr="00335DF3" w:rsidRDefault="0060492C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8C40E9">
        <w:trPr>
          <w:trHeight w:val="37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8C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Ortamın aydınlanmasının yeterli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A130FD">
        <w:trPr>
          <w:trHeight w:val="6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Gıdaların hazırlandığı çalışma tezgâhlarının mermer, paslanmaz çelik ve benzeri malzemeden yapılmış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F120FB">
        <w:trPr>
          <w:trHeight w:val="9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Gıdaların hazırlandığı çalışma tezgâhlarının, </w:t>
            </w:r>
            <w:proofErr w:type="gram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doğrama  tahtalarının</w:t>
            </w:r>
            <w:proofErr w:type="gram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 ve diğer araç gerecin temiz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7B35BD">
        <w:trPr>
          <w:trHeight w:val="7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Tost makinesi, bıçak,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spatula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 gibi araçların ve gıdalar ile temas eden diğer malzemelerin paslanmaz çelikten ve temiz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135038">
        <w:trPr>
          <w:trHeight w:val="33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Tost makinesi, fritöz ve ısıtıcı gibi cihazların temiz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CF4E17">
        <w:trPr>
          <w:trHeight w:val="51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Servis tepsisi olarak kullanılan tepsilerin sağlam ve temiz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C824C0">
        <w:trPr>
          <w:trHeight w:val="73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Kullanılan çaydanlık, su ısıtıcısı, semaver vb. araçların iç yüzlerinde kireç ve pas olmaması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286476">
        <w:trPr>
          <w:trHeight w:val="3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Lavaboların gıda hazırlanan alandan mümkün olduğunca uzak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F509BF">
        <w:trPr>
          <w:trHeight w:val="43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Lavabonun temiz olması (tıkanma, paslanma ve lekelerin bulunamaması)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2A5BAB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Lavaboda el yıkama amaçlı dezenfektanlı sıvı el sabunu ile kâğıt havlunun bulunması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D2478D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Çöp ve her türlü atıkların konulacağı yeterli sayıda ve büyüklükte, ağzı kapalı, paslanmaz, metal veya plastik malzemeden yapılmış, ayak pedallı çöp kutusu olması ve çöp kutusunun içerisinde çöp torbası bulunması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9" w:rsidRPr="00335DF3" w:rsidRDefault="008C40E9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0E9" w:rsidRPr="00335DF3" w:rsidTr="004738B8">
        <w:trPr>
          <w:trHeight w:val="54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Çöplerin ambalaj malzemelerinin ve karton kutuların biriktirilmemesi, kantin içinde birikmiş çöp bulunmaması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40E9" w:rsidRPr="00335DF3" w:rsidTr="008F5D82">
        <w:trPr>
          <w:trHeight w:val="54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E9" w:rsidRPr="00335DF3" w:rsidRDefault="008C40E9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9" w:rsidRPr="00335DF3" w:rsidRDefault="008C40E9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Haşere ve kemirgenlere karşı Sağlık Bakanlığı Halk Sağlığı Genel Müdürlüğünün uygun gördüğü kişi ve kurumlar tarafından Kemirgen İstasyonunun konulması ve 3 ayda bir kontrol edildiğine dair belgenin bulunması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E9" w:rsidRPr="00335DF3" w:rsidRDefault="008C40E9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A5C" w:rsidRPr="00335DF3" w:rsidTr="00F61C31">
        <w:trPr>
          <w:trHeight w:val="54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5C" w:rsidRPr="00335DF3" w:rsidRDefault="00F32A5C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Temizlik amaçlı kullanılan bezlerin temiz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A5C" w:rsidRPr="00335DF3" w:rsidTr="00261E56">
        <w:trPr>
          <w:trHeight w:val="54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5C" w:rsidRPr="00335DF3" w:rsidRDefault="00F32A5C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Kantin alanının ( masa ve sandalyeler </w:t>
            </w:r>
            <w:proofErr w:type="gram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) genel temizliğinin uygun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A5C" w:rsidRPr="00335DF3" w:rsidTr="00135038">
        <w:trPr>
          <w:trHeight w:val="80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7A7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Elektrik süzme sayaç son endeks </w:t>
            </w:r>
            <w:proofErr w:type="spellStart"/>
            <w:r w:rsidRPr="00335DF3">
              <w:rPr>
                <w:rFonts w:ascii="Times New Roman" w:hAnsi="Times New Roman" w:cs="Times New Roman"/>
                <w:b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13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335DF3"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35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335DF3" w:rsidP="0013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</w:tr>
      <w:tr w:rsidR="00F32A5C" w:rsidRPr="00335DF3" w:rsidTr="00135038">
        <w:trPr>
          <w:trHeight w:val="833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5C" w:rsidRPr="00335DF3" w:rsidRDefault="00F32A5C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 süzme sayaç son </w:t>
            </w:r>
            <w:proofErr w:type="gramStart"/>
            <w:r w:rsidRPr="00335DF3">
              <w:rPr>
                <w:rFonts w:ascii="Times New Roman" w:hAnsi="Times New Roman" w:cs="Times New Roman"/>
                <w:b/>
                <w:sz w:val="24"/>
                <w:szCs w:val="24"/>
              </w:rPr>
              <w:t>endeks  m3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A5C" w:rsidRPr="00335DF3" w:rsidTr="00784D79">
        <w:trPr>
          <w:trHeight w:val="54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5C" w:rsidRPr="00335DF3" w:rsidRDefault="00F32A5C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Yiyeceklerin muhafaza edildiği depoların temiz, düzenli ve bakımlı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A5C" w:rsidRPr="00335DF3" w:rsidTr="00C03DB9">
        <w:trPr>
          <w:trHeight w:val="54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5C" w:rsidRPr="00335DF3" w:rsidRDefault="00F32A5C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5C" w:rsidRPr="00335DF3" w:rsidRDefault="00335DF3" w:rsidP="0013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B.GIDA HİJYENİ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5C" w:rsidRPr="00335DF3" w:rsidRDefault="00F32A5C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HAYIR</w:t>
            </w:r>
          </w:p>
        </w:tc>
      </w:tr>
      <w:tr w:rsidR="00335DF3" w:rsidRPr="00335DF3" w:rsidTr="00BD24AA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Gıda ile temas eden tezgâh ve/veya doğrama tahtaları, araç ve gereçlerin temizliğinin uygun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576184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Son kullanım tarihi geçmiş gıda maddelerin bulunmaması, kirlenmiş, kokuşmuş, nitelikleri ve görünümü bozulmuş,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bombaj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 yapmış, kurtlu ve küflü olmaması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1713F3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Ambalajlı ve soğuk ortamda saklanması gereken gıdaların (</w:t>
            </w:r>
            <w:proofErr w:type="spellStart"/>
            <w:proofErr w:type="gram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ayran,yoğurt</w:t>
            </w:r>
            <w:proofErr w:type="gram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,puding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) uygun sıcaklıkta muhafazası için  buzdolabının bulunması ve sıcaklığının uygun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5D0B05">
        <w:trPr>
          <w:trHeight w:val="6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Çiğ et ve ürünlerinin hiçbir şekilde bulundurulmaması (Kantinler için)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760B4C">
        <w:trPr>
          <w:trHeight w:val="6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13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Hazır ve yarı hazır işlenmiş et ve et ürünlerinin (kırmızı ve beyaz etten</w:t>
            </w:r>
            <w:r w:rsidR="0013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imal edilmiş döner, köfte,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nugget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, şnitzel, hamburger köftesi, tavuk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burger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, sucuk ve benzeri) Tarım ve Orman Bakanlığından üretim veya ithalat izni almış, etiketinde üretim ve son kullanım tarihi bulunmuş olması ve uygun koşullarda, sıcaklıkta muhafaza ediliyor olması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446570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Çiğ olarak servis edilecek olan gıdaların (salata, meyve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streç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-film ile kapatılarak servise kadar buzdolabında muhafaza edilmesi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135038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Sebzeler ile et ürünlerinin hazırlanacağı ekipmanların (bıçak, </w:t>
            </w:r>
            <w:proofErr w:type="gram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tezgah</w:t>
            </w:r>
            <w:proofErr w:type="gram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, doğrama tahtası) ayrı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DF3" w:rsidRPr="00335DF3" w:rsidTr="00135038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El ile temas etme zorunluluğu olan gıda maddelerinin hazırlama ve ambalajsız ürünlerin servisi sırasında tek kullanımlık eldiven kullanılması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DF3" w:rsidRPr="00335DF3" w:rsidTr="00135038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F3" w:rsidRPr="00335DF3" w:rsidRDefault="00335DF3" w:rsidP="0013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Üretim ve hazırlık aşamasında çalışan personel tek kullanımlık kolluk kullanması</w:t>
            </w:r>
            <w:r w:rsidR="0013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(Kafeterya ve </w:t>
            </w:r>
            <w:proofErr w:type="gram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Restoran  için</w:t>
            </w:r>
            <w:proofErr w:type="gram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 Kantinler hariç)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DF3" w:rsidRPr="00335DF3" w:rsidTr="00135038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Gıdalar ve gıdalara temas eden madde ve malzemelerin temizlik maddeleriyle aynı yerde bulundurulmaması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DF3" w:rsidRPr="00335DF3" w:rsidTr="00446570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Satışa sunulan gıda maddelerinin uygun koşullarda (sıcaklık, nem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) saklanması; sıcak servis yapılacak gıdaların 65 C' üzerindeki sıcaklıklarda bekletilmesi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DF3" w:rsidRPr="00335DF3" w:rsidTr="00446570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Servise sunulan gıdaların tüketimi için tek kullanımlık araç gereçlerin (bardak, çatal, tabak, kaşık </w:t>
            </w:r>
            <w:proofErr w:type="spell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) kullanılması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DF3" w:rsidRPr="00335DF3" w:rsidTr="00446570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F3" w:rsidRPr="00335DF3" w:rsidRDefault="00335DF3" w:rsidP="007A7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Dondurulmuş ürünler mevcut ise -18 C' de saklanması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DF3" w:rsidRPr="00335DF3" w:rsidTr="00C03DB9">
        <w:trPr>
          <w:trHeight w:val="790"/>
        </w:trPr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13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PERSONEL HİJYENİ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HAYIR</w:t>
            </w:r>
          </w:p>
        </w:tc>
      </w:tr>
      <w:tr w:rsidR="00335DF3" w:rsidRPr="00335DF3" w:rsidTr="00D767A6">
        <w:trPr>
          <w:trHeight w:val="82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Çalışanların  tırnaklarının</w:t>
            </w:r>
            <w:proofErr w:type="gramEnd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 kısa kesilmiş ve temiz olması, sakalsız olması, ellerde açıkta yara ve kesi bulunmaması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0D2183">
        <w:trPr>
          <w:trHeight w:val="88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tabs>
                <w:tab w:val="left" w:pos="13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 xml:space="preserve">İhaleyi alan ve/veya çalışacak personelin iş başlangıcında sağlık raporunun alınması, nüfus cüzdanı fotokopisi, adli sicil </w:t>
            </w:r>
            <w:proofErr w:type="gramStart"/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kaydının   olması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135038">
        <w:trPr>
          <w:trHeight w:val="39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İş kıyafetlerinin bulunması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5E42EC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İş kıyafetlerinin temiz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B35377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Personelin eldiven, maske ve bone kullanması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852A45">
        <w:trPr>
          <w:trHeight w:val="82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Personelin soyunma dolabının olması, gıda hazırlama, pişirme ve servis alanlarında personele ait kıyafet, ayakkabı, terlik vb. bulunmaması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135038">
        <w:trPr>
          <w:trHeight w:val="51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Kantin personelinin yaka kartının bulunması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DF3" w:rsidRPr="00335DF3" w:rsidTr="007B2D34">
        <w:trPr>
          <w:trHeight w:val="963"/>
        </w:trPr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13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D. İŞ GÜVENLİĞİ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HAYIR</w:t>
            </w:r>
          </w:p>
        </w:tc>
      </w:tr>
      <w:tr w:rsidR="00335DF3" w:rsidRPr="00335DF3" w:rsidTr="00187154">
        <w:trPr>
          <w:trHeight w:val="6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pStyle w:val="Default"/>
              <w:jc w:val="both"/>
            </w:pPr>
            <w:r w:rsidRPr="00335DF3">
              <w:t>1-TSE 6075'e Uygun ve yeterli içeriğe sahip İlk Yardım Malzeme Dolabının olması.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7D416B">
        <w:trPr>
          <w:trHeight w:val="82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sz w:val="24"/>
                <w:szCs w:val="24"/>
              </w:rPr>
              <w:t>2-Yangın söndürücünün bulunması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135038">
        <w:trPr>
          <w:trHeight w:val="397"/>
        </w:trPr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13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DİĞER KURALLAR</w:t>
            </w:r>
          </w:p>
          <w:p w:rsidR="00335DF3" w:rsidRPr="00335DF3" w:rsidRDefault="00335DF3" w:rsidP="0033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HAYIR</w:t>
            </w:r>
          </w:p>
        </w:tc>
      </w:tr>
      <w:tr w:rsidR="00335DF3" w:rsidRPr="00335DF3" w:rsidTr="00E9690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pStyle w:val="Default"/>
              <w:jc w:val="both"/>
            </w:pPr>
            <w:r w:rsidRPr="00335DF3">
              <w:t>1-Kantinin görünür en az iki yerinde Üniversitemizce belirlenen Tavan Fiyat Tarifesine uygun Fiyat Listesi bulunması ve belirtilen fiyatlara uyulması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954087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C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F3" w:rsidRPr="00335DF3" w:rsidRDefault="00335DF3" w:rsidP="007A7CDF">
            <w:pPr>
              <w:pStyle w:val="Default"/>
              <w:jc w:val="both"/>
            </w:pPr>
            <w:r w:rsidRPr="00335DF3">
              <w:t>2-Satışa sunulan ürünlerin görünür şekilde fiyat etiketlerinin olması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5DF3" w:rsidRPr="00335DF3" w:rsidTr="00335DF3">
        <w:trPr>
          <w:trHeight w:val="659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DF3" w:rsidRPr="00335DF3" w:rsidRDefault="00335DF3" w:rsidP="0060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hAnsi="Times New Roman" w:cs="Times New Roman"/>
                <w:b/>
                <w:sz w:val="24"/>
                <w:szCs w:val="24"/>
              </w:rPr>
              <w:t>GÖRÜLEN DİĞER EKSİKLİKLER VE DÜŞÜNCELER:</w:t>
            </w:r>
          </w:p>
        </w:tc>
      </w:tr>
      <w:tr w:rsidR="00335DF3" w:rsidRPr="00335DF3" w:rsidTr="00335DF3">
        <w:trPr>
          <w:trHeight w:val="419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DF3" w:rsidRPr="00335DF3" w:rsidRDefault="00335DF3" w:rsidP="0033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35038" w:rsidRDefault="00135038" w:rsidP="00135038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25042" w:rsidRPr="00335DF3" w:rsidRDefault="00335DF3" w:rsidP="00135038">
      <w:pPr>
        <w:tabs>
          <w:tab w:val="left" w:pos="12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5DF3">
        <w:rPr>
          <w:rFonts w:ascii="Times New Roman" w:hAnsi="Times New Roman" w:cs="Times New Roman"/>
          <w:sz w:val="24"/>
          <w:szCs w:val="24"/>
        </w:rPr>
        <w:t>BİRİM KONTROL TEŞKİLATI</w:t>
      </w:r>
    </w:p>
    <w:p w:rsidR="00E734B1" w:rsidRPr="00335DF3" w:rsidRDefault="00E734B1" w:rsidP="0060492C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306849" w:rsidRPr="00335DF3" w:rsidRDefault="00306849" w:rsidP="0060492C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335DF3" w:rsidRPr="00335DF3" w:rsidRDefault="00335DF3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335DF3" w:rsidRPr="00335DF3" w:rsidSect="00BB2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8A" w:rsidRDefault="002E7D8A" w:rsidP="0060492C">
      <w:pPr>
        <w:spacing w:after="0" w:line="240" w:lineRule="auto"/>
      </w:pPr>
      <w:r>
        <w:separator/>
      </w:r>
    </w:p>
  </w:endnote>
  <w:endnote w:type="continuationSeparator" w:id="0">
    <w:p w:rsidR="002E7D8A" w:rsidRDefault="002E7D8A" w:rsidP="0060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38" w:rsidRDefault="0013503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3C" w:rsidRPr="007D7E3C" w:rsidRDefault="007D7E3C">
    <w:pPr>
      <w:pStyle w:val="Altbilgi"/>
      <w:rPr>
        <w:rFonts w:ascii="Times New Roman" w:hAnsi="Times New Roman" w:cs="Times New Roman"/>
        <w:sz w:val="24"/>
        <w:szCs w:val="24"/>
      </w:rPr>
    </w:pPr>
    <w:r w:rsidRPr="007D7E3C">
      <w:rPr>
        <w:rFonts w:ascii="Times New Roman" w:hAnsi="Times New Roman" w:cs="Times New Roman"/>
        <w:sz w:val="24"/>
        <w:szCs w:val="24"/>
      </w:rPr>
      <w:t>KYT-FRM-270/00</w:t>
    </w:r>
  </w:p>
  <w:p w:rsidR="0060492C" w:rsidRDefault="0060492C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38" w:rsidRDefault="001350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8A" w:rsidRDefault="002E7D8A" w:rsidP="0060492C">
      <w:pPr>
        <w:spacing w:after="0" w:line="240" w:lineRule="auto"/>
      </w:pPr>
      <w:r>
        <w:separator/>
      </w:r>
    </w:p>
  </w:footnote>
  <w:footnote w:type="continuationSeparator" w:id="0">
    <w:p w:rsidR="002E7D8A" w:rsidRDefault="002E7D8A" w:rsidP="0060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38" w:rsidRDefault="0013503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28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8521"/>
      <w:gridCol w:w="146"/>
    </w:tblGrid>
    <w:tr w:rsidR="00BB2FC9" w:rsidTr="00DD13A1">
      <w:trPr>
        <w:cantSplit/>
        <w:trHeight w:val="300"/>
      </w:trPr>
      <w:tc>
        <w:tcPr>
          <w:tcW w:w="82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B2FC9" w:rsidRDefault="00BE2B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07031" cy="621376"/>
                <wp:effectExtent l="0" t="0" r="3175" b="762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559" cy="61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C40E9" w:rsidRPr="000B5AA4" w:rsidRDefault="008C40E9" w:rsidP="008C40E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YOZGAT </w:t>
          </w:r>
          <w:r w:rsidRPr="000B5AA4">
            <w:rPr>
              <w:rFonts w:ascii="Times New Roman" w:hAnsi="Times New Roman" w:cs="Times New Roman"/>
              <w:b/>
            </w:rPr>
            <w:t>BOZOK ÜNİVERSİTESİ</w:t>
          </w:r>
        </w:p>
        <w:p w:rsidR="008C40E9" w:rsidRDefault="008C40E9" w:rsidP="008C40E9">
          <w:pPr>
            <w:jc w:val="center"/>
            <w:rPr>
              <w:rFonts w:ascii="Times New Roman" w:hAnsi="Times New Roman" w:cs="Times New Roman"/>
              <w:b/>
            </w:rPr>
          </w:pPr>
          <w:r w:rsidRPr="000B5AA4">
            <w:rPr>
              <w:rFonts w:ascii="Times New Roman" w:hAnsi="Times New Roman" w:cs="Times New Roman"/>
              <w:b/>
            </w:rPr>
            <w:t xml:space="preserve">KANTİN, </w:t>
          </w:r>
          <w:r>
            <w:rPr>
              <w:rFonts w:ascii="Times New Roman" w:hAnsi="Times New Roman" w:cs="Times New Roman"/>
              <w:b/>
            </w:rPr>
            <w:t xml:space="preserve">RESTORANT, </w:t>
          </w:r>
          <w:r w:rsidRPr="000B5AA4">
            <w:rPr>
              <w:rFonts w:ascii="Times New Roman" w:hAnsi="Times New Roman" w:cs="Times New Roman"/>
              <w:b/>
            </w:rPr>
            <w:t xml:space="preserve">ÇAY OCAĞI, KAFETERYA, KIRTASİYE, MARKET VE BENZERİ İŞLETMELERİN DENETLEME FORMU </w:t>
          </w:r>
        </w:p>
        <w:p w:rsidR="008C40E9" w:rsidRDefault="008C40E9" w:rsidP="008C40E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(</w:t>
          </w:r>
          <w:proofErr w:type="gramStart"/>
          <w:r>
            <w:rPr>
              <w:rFonts w:ascii="Times New Roman" w:hAnsi="Times New Roman" w:cs="Times New Roman"/>
              <w:b/>
            </w:rPr>
            <w:t>………………………………………………………………………..</w:t>
          </w:r>
          <w:proofErr w:type="gramEnd"/>
          <w:r>
            <w:rPr>
              <w:rFonts w:ascii="Times New Roman" w:hAnsi="Times New Roman" w:cs="Times New Roman"/>
              <w:b/>
            </w:rPr>
            <w:t xml:space="preserve"> BİRİMİ</w:t>
          </w:r>
          <w:proofErr w:type="gramStart"/>
          <w:r>
            <w:rPr>
              <w:rFonts w:ascii="Times New Roman" w:hAnsi="Times New Roman" w:cs="Times New Roman"/>
              <w:b/>
            </w:rPr>
            <w:t>)</w:t>
          </w:r>
          <w:proofErr w:type="gramEnd"/>
        </w:p>
        <w:p w:rsidR="008C40E9" w:rsidRPr="008C40E9" w:rsidRDefault="008C40E9" w:rsidP="008C40E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>…...</w:t>
          </w:r>
          <w:proofErr w:type="gramEnd"/>
          <w:r>
            <w:rPr>
              <w:rFonts w:ascii="Times New Roman" w:hAnsi="Times New Roman" w:cs="Times New Roman"/>
              <w:b/>
            </w:rPr>
            <w:t>/……/202</w:t>
          </w:r>
        </w:p>
      </w:tc>
      <w:tc>
        <w:tcPr>
          <w:tcW w:w="7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B2FC9" w:rsidRDefault="00BB2FC9">
          <w:pPr>
            <w:spacing w:after="0"/>
          </w:pPr>
        </w:p>
      </w:tc>
    </w:tr>
    <w:tr w:rsidR="00BB2FC9" w:rsidTr="00DD13A1">
      <w:trPr>
        <w:cantSplit/>
        <w:trHeight w:val="334"/>
      </w:trPr>
      <w:tc>
        <w:tcPr>
          <w:tcW w:w="82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B2FC9" w:rsidRDefault="00BB2FC9">
          <w:pPr>
            <w:spacing w:after="0" w:line="240" w:lineRule="auto"/>
            <w:rPr>
              <w:rFonts w:ascii="Century Gothic" w:eastAsia="Times New Roman" w:hAnsi="Century Gothic" w:cs="Times New Roman"/>
              <w:sz w:val="24"/>
              <w:szCs w:val="24"/>
            </w:rPr>
          </w:pPr>
        </w:p>
      </w:tc>
      <w:tc>
        <w:tcPr>
          <w:tcW w:w="410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B2FC9" w:rsidRDefault="00BB2FC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</w:pPr>
        </w:p>
      </w:tc>
      <w:tc>
        <w:tcPr>
          <w:tcW w:w="7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B2FC9" w:rsidRDefault="00BB2FC9">
          <w:pPr>
            <w:spacing w:after="0"/>
          </w:pPr>
        </w:p>
      </w:tc>
    </w:tr>
    <w:tr w:rsidR="00BB2FC9" w:rsidTr="00DD13A1">
      <w:trPr>
        <w:cantSplit/>
        <w:trHeight w:val="334"/>
      </w:trPr>
      <w:tc>
        <w:tcPr>
          <w:tcW w:w="82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B2FC9" w:rsidRDefault="00BB2FC9">
          <w:pPr>
            <w:spacing w:after="0" w:line="240" w:lineRule="auto"/>
            <w:rPr>
              <w:rFonts w:ascii="Century Gothic" w:eastAsia="Times New Roman" w:hAnsi="Century Gothic" w:cs="Times New Roman"/>
              <w:sz w:val="24"/>
              <w:szCs w:val="24"/>
            </w:rPr>
          </w:pPr>
        </w:p>
      </w:tc>
      <w:tc>
        <w:tcPr>
          <w:tcW w:w="410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B2FC9" w:rsidRDefault="00BB2FC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</w:pPr>
        </w:p>
      </w:tc>
      <w:tc>
        <w:tcPr>
          <w:tcW w:w="7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B2FC9" w:rsidRDefault="00BB2FC9">
          <w:pPr>
            <w:spacing w:after="0"/>
          </w:pPr>
        </w:p>
      </w:tc>
    </w:tr>
    <w:tr w:rsidR="00BB2FC9" w:rsidTr="00DD13A1">
      <w:trPr>
        <w:cantSplit/>
        <w:trHeight w:val="334"/>
      </w:trPr>
      <w:tc>
        <w:tcPr>
          <w:tcW w:w="82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B2FC9" w:rsidRDefault="00BB2FC9">
          <w:pPr>
            <w:spacing w:after="0" w:line="240" w:lineRule="auto"/>
            <w:rPr>
              <w:rFonts w:ascii="Century Gothic" w:eastAsia="Times New Roman" w:hAnsi="Century Gothic" w:cs="Times New Roman"/>
              <w:sz w:val="24"/>
              <w:szCs w:val="24"/>
            </w:rPr>
          </w:pPr>
        </w:p>
      </w:tc>
      <w:tc>
        <w:tcPr>
          <w:tcW w:w="410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B2FC9" w:rsidRDefault="00BB2FC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</w:pPr>
        </w:p>
      </w:tc>
      <w:tc>
        <w:tcPr>
          <w:tcW w:w="7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B2FC9" w:rsidRDefault="00BB2FC9">
          <w:pPr>
            <w:spacing w:after="0"/>
          </w:pPr>
        </w:p>
      </w:tc>
    </w:tr>
  </w:tbl>
  <w:p w:rsidR="0060492C" w:rsidRPr="00BB2FC9" w:rsidRDefault="0060492C" w:rsidP="00BB2FC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38" w:rsidRDefault="001350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2C"/>
    <w:rsid w:val="00011C99"/>
    <w:rsid w:val="000A74F2"/>
    <w:rsid w:val="000D6E24"/>
    <w:rsid w:val="00135038"/>
    <w:rsid w:val="00181F07"/>
    <w:rsid w:val="002E368C"/>
    <w:rsid w:val="002E7D8A"/>
    <w:rsid w:val="00306849"/>
    <w:rsid w:val="00335DF3"/>
    <w:rsid w:val="003B13BA"/>
    <w:rsid w:val="003D3827"/>
    <w:rsid w:val="00425042"/>
    <w:rsid w:val="0060492C"/>
    <w:rsid w:val="00620F4F"/>
    <w:rsid w:val="00652CBF"/>
    <w:rsid w:val="006A3073"/>
    <w:rsid w:val="00721DEB"/>
    <w:rsid w:val="00797B09"/>
    <w:rsid w:val="007A4B35"/>
    <w:rsid w:val="007D7E3C"/>
    <w:rsid w:val="007F2100"/>
    <w:rsid w:val="008470CC"/>
    <w:rsid w:val="00873BBF"/>
    <w:rsid w:val="008C40E9"/>
    <w:rsid w:val="00947721"/>
    <w:rsid w:val="00AA264D"/>
    <w:rsid w:val="00AD404F"/>
    <w:rsid w:val="00B672D3"/>
    <w:rsid w:val="00BB2FC9"/>
    <w:rsid w:val="00BE2B1A"/>
    <w:rsid w:val="00C03DB9"/>
    <w:rsid w:val="00C963E0"/>
    <w:rsid w:val="00D018A2"/>
    <w:rsid w:val="00D1055A"/>
    <w:rsid w:val="00D502C1"/>
    <w:rsid w:val="00D66AC3"/>
    <w:rsid w:val="00D8381F"/>
    <w:rsid w:val="00DD13A1"/>
    <w:rsid w:val="00E34053"/>
    <w:rsid w:val="00E70198"/>
    <w:rsid w:val="00E734B1"/>
    <w:rsid w:val="00EE3327"/>
    <w:rsid w:val="00F32A5C"/>
    <w:rsid w:val="00FD17CC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49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92C"/>
  </w:style>
  <w:style w:type="paragraph" w:styleId="Altbilgi">
    <w:name w:val="footer"/>
    <w:basedOn w:val="Normal"/>
    <w:link w:val="AltbilgiChar"/>
    <w:uiPriority w:val="99"/>
    <w:unhideWhenUsed/>
    <w:rsid w:val="0060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92C"/>
  </w:style>
  <w:style w:type="paragraph" w:styleId="BalonMetni">
    <w:name w:val="Balloon Text"/>
    <w:basedOn w:val="Normal"/>
    <w:link w:val="BalonMetniChar"/>
    <w:uiPriority w:val="99"/>
    <w:semiHidden/>
    <w:unhideWhenUsed/>
    <w:rsid w:val="0060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D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49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92C"/>
  </w:style>
  <w:style w:type="paragraph" w:styleId="Altbilgi">
    <w:name w:val="footer"/>
    <w:basedOn w:val="Normal"/>
    <w:link w:val="AltbilgiChar"/>
    <w:uiPriority w:val="99"/>
    <w:unhideWhenUsed/>
    <w:rsid w:val="0060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92C"/>
  </w:style>
  <w:style w:type="paragraph" w:styleId="BalonMetni">
    <w:name w:val="Balloon Text"/>
    <w:basedOn w:val="Normal"/>
    <w:link w:val="BalonMetniChar"/>
    <w:uiPriority w:val="99"/>
    <w:semiHidden/>
    <w:unhideWhenUsed/>
    <w:rsid w:val="0060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D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EA78-B29F-4D52-84C8-E0E58C4F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Acer</cp:lastModifiedBy>
  <cp:revision>4</cp:revision>
  <dcterms:created xsi:type="dcterms:W3CDTF">2024-11-08T11:06:00Z</dcterms:created>
  <dcterms:modified xsi:type="dcterms:W3CDTF">2024-11-20T08:39:00Z</dcterms:modified>
</cp:coreProperties>
</file>