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2C" w:rsidRPr="00ED7980" w:rsidRDefault="001C65FC" w:rsidP="001C65FC">
      <w:pPr>
        <w:jc w:val="center"/>
        <w:rPr>
          <w:rFonts w:cstheme="minorHAnsi"/>
          <w:b/>
        </w:rPr>
      </w:pPr>
      <w:r w:rsidRPr="00ED7980">
        <w:rPr>
          <w:rFonts w:cstheme="minorHAnsi"/>
          <w:b/>
        </w:rPr>
        <w:t xml:space="preserve">BAP ve TÜBİTAK </w:t>
      </w:r>
      <w:r w:rsidR="00420F7A">
        <w:rPr>
          <w:rFonts w:cstheme="minorHAnsi"/>
          <w:b/>
        </w:rPr>
        <w:t xml:space="preserve">PROJELERİ KAPSAMINDA TEMİN EDİLEN DEMİRBAŞLARIN </w:t>
      </w:r>
      <w:r w:rsidRPr="00ED7980">
        <w:rPr>
          <w:rFonts w:cstheme="minorHAnsi"/>
          <w:b/>
        </w:rPr>
        <w:t>TAŞINIR İŞLEMLERİNDE DİKKAT EDİLECEK HUSUSLAR</w:t>
      </w:r>
    </w:p>
    <w:p w:rsidR="001C65FC" w:rsidRPr="00ED7980" w:rsidRDefault="00E23044" w:rsidP="00E23044">
      <w:pPr>
        <w:pStyle w:val="ListeParagraf"/>
        <w:numPr>
          <w:ilvl w:val="0"/>
          <w:numId w:val="1"/>
        </w:numPr>
        <w:ind w:left="284" w:hanging="284"/>
        <w:jc w:val="both"/>
        <w:rPr>
          <w:rFonts w:cstheme="minorHAnsi"/>
        </w:rPr>
      </w:pPr>
      <w:r w:rsidRPr="00ED7980">
        <w:rPr>
          <w:rFonts w:cstheme="minorHAnsi"/>
        </w:rPr>
        <w:t>Projeler (BAP, TÜBİTAK vd.) k</w:t>
      </w:r>
      <w:r w:rsidR="001C65FC" w:rsidRPr="00ED7980">
        <w:rPr>
          <w:rFonts w:cstheme="minorHAnsi"/>
        </w:rPr>
        <w:t>apsamında alınan taşınırların devri; yürütücünün bağlı olduğu birime, üzerinde proje kodu ve yürütücünün adı soyadı yazılı bir şekilde düzenlenen taşınır işlem fişi ile yapılır.</w:t>
      </w:r>
    </w:p>
    <w:p w:rsidR="001C65FC" w:rsidRPr="00ED7980" w:rsidRDefault="001C65FC" w:rsidP="00E23044">
      <w:pPr>
        <w:pStyle w:val="ListeParagraf"/>
        <w:numPr>
          <w:ilvl w:val="0"/>
          <w:numId w:val="1"/>
        </w:numPr>
        <w:ind w:left="284" w:hanging="284"/>
        <w:jc w:val="both"/>
        <w:rPr>
          <w:rFonts w:cstheme="minorHAnsi"/>
        </w:rPr>
      </w:pPr>
      <w:r w:rsidRPr="00ED7980">
        <w:rPr>
          <w:rFonts w:cstheme="minorHAnsi"/>
        </w:rPr>
        <w:t>Yürütücü Merkezimize gelerek taşınır devri işlem fişini imzalar</w:t>
      </w:r>
      <w:r w:rsidR="003F1E96" w:rsidRPr="00ED7980">
        <w:rPr>
          <w:rFonts w:cstheme="minorHAnsi"/>
        </w:rPr>
        <w:t>. Kendisine teslim edilen devir işlem fişini,</w:t>
      </w:r>
      <w:r w:rsidRPr="00ED7980">
        <w:rPr>
          <w:rFonts w:cstheme="minorHAnsi"/>
        </w:rPr>
        <w:t xml:space="preserve"> devir işlemlerinin en kısa sürede tamamlanabilmesi için </w:t>
      </w:r>
      <w:r w:rsidR="003F1E96" w:rsidRPr="00ED7980">
        <w:rPr>
          <w:rFonts w:cstheme="minorHAnsi"/>
        </w:rPr>
        <w:t xml:space="preserve">bağlı olduğu </w:t>
      </w:r>
      <w:r w:rsidR="00044012" w:rsidRPr="00ED7980">
        <w:rPr>
          <w:rFonts w:cstheme="minorHAnsi"/>
        </w:rPr>
        <w:t>birimin taş</w:t>
      </w:r>
      <w:r w:rsidR="00EF0A95" w:rsidRPr="00ED7980">
        <w:rPr>
          <w:rFonts w:cstheme="minorHAnsi"/>
        </w:rPr>
        <w:t>ınır kayıt yetkilisine teslim et</w:t>
      </w:r>
      <w:r w:rsidR="00044012" w:rsidRPr="00ED7980">
        <w:rPr>
          <w:rFonts w:cstheme="minorHAnsi"/>
        </w:rPr>
        <w:t>mesi gerekmektedir.</w:t>
      </w:r>
      <w:r w:rsidRPr="00ED7980">
        <w:rPr>
          <w:rFonts w:cstheme="minorHAnsi"/>
        </w:rPr>
        <w:t xml:space="preserve"> </w:t>
      </w:r>
    </w:p>
    <w:p w:rsidR="001C65FC" w:rsidRPr="00ED7980" w:rsidRDefault="001C65FC" w:rsidP="00E23044">
      <w:pPr>
        <w:pStyle w:val="ListeParagraf"/>
        <w:numPr>
          <w:ilvl w:val="0"/>
          <w:numId w:val="1"/>
        </w:numPr>
        <w:ind w:left="284" w:hanging="284"/>
        <w:jc w:val="both"/>
        <w:rPr>
          <w:rFonts w:cstheme="minorHAnsi"/>
        </w:rPr>
      </w:pPr>
      <w:r w:rsidRPr="00ED7980">
        <w:rPr>
          <w:rFonts w:cstheme="minorHAnsi"/>
        </w:rPr>
        <w:t xml:space="preserve">Yürütücü, projesi kapsamında temin edilen ve birimine devredilen mal/malzemenin zimmetini </w:t>
      </w:r>
      <w:r w:rsidR="00867999">
        <w:rPr>
          <w:rFonts w:cstheme="minorHAnsi"/>
        </w:rPr>
        <w:t>kendi üzerine alır.</w:t>
      </w:r>
    </w:p>
    <w:p w:rsidR="00E23044" w:rsidRPr="00ED7980" w:rsidRDefault="001C65FC" w:rsidP="00E23044">
      <w:pPr>
        <w:pStyle w:val="ListeParagraf"/>
        <w:numPr>
          <w:ilvl w:val="0"/>
          <w:numId w:val="1"/>
        </w:numPr>
        <w:ind w:left="284" w:hanging="284"/>
        <w:jc w:val="both"/>
        <w:rPr>
          <w:rFonts w:cstheme="minorHAnsi"/>
        </w:rPr>
      </w:pPr>
      <w:r w:rsidRPr="00ED7980">
        <w:rPr>
          <w:rFonts w:cstheme="minorHAnsi"/>
        </w:rPr>
        <w:t>BAP Kapsamında alınan taşınırlar proje süresince yürütücü üzerine zimmetlenir.</w:t>
      </w:r>
    </w:p>
    <w:p w:rsidR="00E23044" w:rsidRPr="00ED7980" w:rsidRDefault="00044012" w:rsidP="00E23044">
      <w:pPr>
        <w:pStyle w:val="ListeParagraf"/>
        <w:numPr>
          <w:ilvl w:val="0"/>
          <w:numId w:val="1"/>
        </w:numPr>
        <w:ind w:left="284" w:hanging="284"/>
        <w:jc w:val="both"/>
        <w:rPr>
          <w:rFonts w:cstheme="minorHAnsi"/>
        </w:rPr>
      </w:pPr>
      <w:r w:rsidRPr="00ED7980">
        <w:rPr>
          <w:rFonts w:cstheme="minorHAnsi"/>
        </w:rPr>
        <w:t xml:space="preserve">Proje bitiminde yürütücü üzerinde bulunan demirbaşların devir, hurda </w:t>
      </w:r>
      <w:proofErr w:type="spellStart"/>
      <w:r w:rsidRPr="00ED7980">
        <w:rPr>
          <w:rFonts w:cstheme="minorHAnsi"/>
        </w:rPr>
        <w:t>vb</w:t>
      </w:r>
      <w:proofErr w:type="spellEnd"/>
      <w:r w:rsidRPr="00ED7980">
        <w:rPr>
          <w:rFonts w:cstheme="minorHAnsi"/>
        </w:rPr>
        <w:t xml:space="preserve"> işlemlerine karar verme yetkisi BAP Komisyonuna aittir. Merkezimize yazılı başvuruda bulunulup, komisyon kararı tarafınıza tebliğ edilmeden demirbaşlarla ilgili işlem yapılmamalıdır.</w:t>
      </w:r>
    </w:p>
    <w:p w:rsidR="00E279CC" w:rsidRPr="00ED7980" w:rsidRDefault="006B29AB" w:rsidP="00E23044">
      <w:pPr>
        <w:pStyle w:val="ListeParagraf"/>
        <w:numPr>
          <w:ilvl w:val="0"/>
          <w:numId w:val="1"/>
        </w:numPr>
        <w:ind w:left="284" w:hanging="284"/>
        <w:jc w:val="both"/>
        <w:rPr>
          <w:rFonts w:cstheme="minorHAnsi"/>
        </w:rPr>
      </w:pPr>
      <w:r w:rsidRPr="00ED7980">
        <w:rPr>
          <w:rFonts w:cstheme="minorHAnsi"/>
        </w:rPr>
        <w:t>Yozgat</w:t>
      </w:r>
      <w:r w:rsidRPr="00ED7980">
        <w:rPr>
          <w:rFonts w:cstheme="minorHAnsi"/>
          <w:spacing w:val="-3"/>
        </w:rPr>
        <w:t xml:space="preserve"> </w:t>
      </w:r>
      <w:r w:rsidRPr="00ED7980">
        <w:rPr>
          <w:rFonts w:cstheme="minorHAnsi"/>
        </w:rPr>
        <w:t>Bozok</w:t>
      </w:r>
      <w:r w:rsidRPr="00ED7980">
        <w:rPr>
          <w:rFonts w:cstheme="minorHAnsi"/>
          <w:spacing w:val="-1"/>
        </w:rPr>
        <w:t xml:space="preserve"> </w:t>
      </w:r>
      <w:r w:rsidRPr="00ED7980">
        <w:rPr>
          <w:rFonts w:cstheme="minorHAnsi"/>
        </w:rPr>
        <w:t>Üniversitesi Bilimsel</w:t>
      </w:r>
      <w:r w:rsidRPr="00ED7980">
        <w:rPr>
          <w:rFonts w:cstheme="minorHAnsi"/>
          <w:spacing w:val="-5"/>
        </w:rPr>
        <w:t xml:space="preserve"> </w:t>
      </w:r>
      <w:r w:rsidRPr="00ED7980">
        <w:rPr>
          <w:rFonts w:cstheme="minorHAnsi"/>
        </w:rPr>
        <w:t>Araştırma</w:t>
      </w:r>
      <w:r w:rsidRPr="00ED7980">
        <w:rPr>
          <w:rFonts w:cstheme="minorHAnsi"/>
          <w:spacing w:val="-6"/>
        </w:rPr>
        <w:t xml:space="preserve"> </w:t>
      </w:r>
      <w:r w:rsidRPr="00ED7980">
        <w:rPr>
          <w:rFonts w:cstheme="minorHAnsi"/>
        </w:rPr>
        <w:t>Projeleri</w:t>
      </w:r>
      <w:r w:rsidRPr="00ED7980">
        <w:rPr>
          <w:rFonts w:cstheme="minorHAnsi"/>
          <w:spacing w:val="-1"/>
        </w:rPr>
        <w:t xml:space="preserve"> </w:t>
      </w:r>
      <w:r w:rsidRPr="00ED7980">
        <w:rPr>
          <w:rFonts w:cstheme="minorHAnsi"/>
        </w:rPr>
        <w:t>(BAP)</w:t>
      </w:r>
      <w:r w:rsidRPr="00ED7980">
        <w:rPr>
          <w:rFonts w:cstheme="minorHAnsi"/>
          <w:spacing w:val="-6"/>
        </w:rPr>
        <w:t xml:space="preserve"> </w:t>
      </w:r>
      <w:r w:rsidRPr="00ED7980">
        <w:rPr>
          <w:rFonts w:cstheme="minorHAnsi"/>
        </w:rPr>
        <w:t>Uygulama</w:t>
      </w:r>
      <w:r w:rsidRPr="00ED7980">
        <w:rPr>
          <w:rFonts w:cstheme="minorHAnsi"/>
          <w:spacing w:val="-3"/>
        </w:rPr>
        <w:t xml:space="preserve"> </w:t>
      </w:r>
      <w:r w:rsidRPr="00ED7980">
        <w:rPr>
          <w:rFonts w:cstheme="minorHAnsi"/>
        </w:rPr>
        <w:t>Yönergesi</w:t>
      </w:r>
      <w:r w:rsidR="00E279CC" w:rsidRPr="00ED7980">
        <w:rPr>
          <w:rFonts w:cstheme="minorHAnsi"/>
        </w:rPr>
        <w:t xml:space="preserve"> </w:t>
      </w:r>
      <w:r w:rsidRPr="00ED7980">
        <w:rPr>
          <w:rFonts w:cstheme="minorHAnsi"/>
        </w:rPr>
        <w:t>26</w:t>
      </w:r>
      <w:r w:rsidR="00582BF6" w:rsidRPr="00ED7980">
        <w:rPr>
          <w:rFonts w:cstheme="minorHAnsi"/>
        </w:rPr>
        <w:t>. m</w:t>
      </w:r>
      <w:r w:rsidR="00E279CC" w:rsidRPr="00ED7980">
        <w:rPr>
          <w:rFonts w:cstheme="minorHAnsi"/>
        </w:rPr>
        <w:t>addesi</w:t>
      </w:r>
      <w:r w:rsidR="00E279CC" w:rsidRPr="00ED7980">
        <w:rPr>
          <w:rFonts w:cstheme="minorHAnsi"/>
          <w:b/>
        </w:rPr>
        <w:t xml:space="preserve"> </w:t>
      </w:r>
      <w:r w:rsidR="00E279CC" w:rsidRPr="00ED7980">
        <w:rPr>
          <w:rFonts w:cstheme="minorHAnsi"/>
          <w:b/>
          <w:i/>
        </w:rPr>
        <w:t>“</w:t>
      </w:r>
      <w:r w:rsidRPr="00ED7980">
        <w:rPr>
          <w:rFonts w:cstheme="minorHAnsi"/>
          <w:i/>
        </w:rPr>
        <w:t>Projeler için Birimce sağlanan makine, teçhizat ve donanımların mülkiyeti</w:t>
      </w:r>
      <w:r w:rsidRPr="00ED7980">
        <w:rPr>
          <w:rFonts w:cstheme="minorHAnsi"/>
          <w:i/>
          <w:spacing w:val="1"/>
        </w:rPr>
        <w:t xml:space="preserve"> </w:t>
      </w:r>
      <w:r w:rsidR="00867999">
        <w:rPr>
          <w:rFonts w:cstheme="minorHAnsi"/>
          <w:i/>
          <w:spacing w:val="1"/>
        </w:rPr>
        <w:t xml:space="preserve">BAP Koordinasyon </w:t>
      </w:r>
      <w:r w:rsidRPr="00ED7980">
        <w:rPr>
          <w:rFonts w:cstheme="minorHAnsi"/>
          <w:i/>
        </w:rPr>
        <w:t>Birim</w:t>
      </w:r>
      <w:r w:rsidR="00867999">
        <w:rPr>
          <w:rFonts w:cstheme="minorHAnsi"/>
          <w:i/>
        </w:rPr>
        <w:t>in</w:t>
      </w:r>
      <w:r w:rsidRPr="00ED7980">
        <w:rPr>
          <w:rFonts w:cstheme="minorHAnsi"/>
          <w:i/>
        </w:rPr>
        <w:t>e aittir. Söz konusu makine, teçhizat ve donanımlar, ilgili proje tamamlanıncaya kadar</w:t>
      </w:r>
      <w:r w:rsidRPr="00ED7980">
        <w:rPr>
          <w:rFonts w:cstheme="minorHAnsi"/>
          <w:i/>
          <w:spacing w:val="1"/>
        </w:rPr>
        <w:t xml:space="preserve"> </w:t>
      </w:r>
      <w:r w:rsidRPr="00ED7980">
        <w:rPr>
          <w:rFonts w:cstheme="minorHAnsi"/>
          <w:i/>
        </w:rPr>
        <w:t>proje</w:t>
      </w:r>
      <w:r w:rsidRPr="00ED7980">
        <w:rPr>
          <w:rFonts w:cstheme="minorHAnsi"/>
          <w:i/>
          <w:spacing w:val="1"/>
        </w:rPr>
        <w:t xml:space="preserve"> </w:t>
      </w:r>
      <w:r w:rsidRPr="00ED7980">
        <w:rPr>
          <w:rFonts w:cstheme="minorHAnsi"/>
          <w:i/>
        </w:rPr>
        <w:t>yürütücülerinin</w:t>
      </w:r>
      <w:r w:rsidRPr="00ED7980">
        <w:rPr>
          <w:rFonts w:cstheme="minorHAnsi"/>
          <w:i/>
          <w:spacing w:val="1"/>
        </w:rPr>
        <w:t xml:space="preserve"> </w:t>
      </w:r>
      <w:r w:rsidRPr="00ED7980">
        <w:rPr>
          <w:rFonts w:cstheme="minorHAnsi"/>
          <w:i/>
        </w:rPr>
        <w:t>kontrol</w:t>
      </w:r>
      <w:r w:rsidRPr="00ED7980">
        <w:rPr>
          <w:rFonts w:cstheme="minorHAnsi"/>
          <w:i/>
          <w:spacing w:val="1"/>
        </w:rPr>
        <w:t xml:space="preserve"> </w:t>
      </w:r>
      <w:r w:rsidRPr="00ED7980">
        <w:rPr>
          <w:rFonts w:cstheme="minorHAnsi"/>
          <w:i/>
        </w:rPr>
        <w:t>ve</w:t>
      </w:r>
      <w:r w:rsidRPr="00ED7980">
        <w:rPr>
          <w:rFonts w:cstheme="minorHAnsi"/>
          <w:i/>
          <w:spacing w:val="1"/>
        </w:rPr>
        <w:t xml:space="preserve"> </w:t>
      </w:r>
      <w:r w:rsidRPr="00ED7980">
        <w:rPr>
          <w:rFonts w:cstheme="minorHAnsi"/>
          <w:i/>
        </w:rPr>
        <w:t>kullanımındadır;</w:t>
      </w:r>
      <w:r w:rsidRPr="00ED7980">
        <w:rPr>
          <w:rFonts w:cstheme="minorHAnsi"/>
          <w:i/>
          <w:spacing w:val="1"/>
        </w:rPr>
        <w:t xml:space="preserve"> </w:t>
      </w:r>
      <w:r w:rsidRPr="00ED7980">
        <w:rPr>
          <w:rFonts w:cstheme="minorHAnsi"/>
          <w:i/>
        </w:rPr>
        <w:t>bunların</w:t>
      </w:r>
      <w:r w:rsidRPr="00ED7980">
        <w:rPr>
          <w:rFonts w:cstheme="minorHAnsi"/>
          <w:i/>
          <w:spacing w:val="1"/>
        </w:rPr>
        <w:t xml:space="preserve"> </w:t>
      </w:r>
      <w:r w:rsidRPr="00ED7980">
        <w:rPr>
          <w:rFonts w:cstheme="minorHAnsi"/>
          <w:i/>
        </w:rPr>
        <w:t>korunmasından,</w:t>
      </w:r>
      <w:r w:rsidRPr="00ED7980">
        <w:rPr>
          <w:rFonts w:cstheme="minorHAnsi"/>
          <w:i/>
          <w:spacing w:val="1"/>
        </w:rPr>
        <w:t xml:space="preserve"> </w:t>
      </w:r>
      <w:r w:rsidRPr="00ED7980">
        <w:rPr>
          <w:rFonts w:cstheme="minorHAnsi"/>
          <w:i/>
        </w:rPr>
        <w:t>bakım</w:t>
      </w:r>
      <w:r w:rsidRPr="00ED7980">
        <w:rPr>
          <w:rFonts w:cstheme="minorHAnsi"/>
          <w:i/>
          <w:spacing w:val="1"/>
        </w:rPr>
        <w:t xml:space="preserve"> </w:t>
      </w:r>
      <w:r w:rsidRPr="00ED7980">
        <w:rPr>
          <w:rFonts w:cstheme="minorHAnsi"/>
          <w:i/>
        </w:rPr>
        <w:t>ve</w:t>
      </w:r>
      <w:r w:rsidRPr="00ED7980">
        <w:rPr>
          <w:rFonts w:cstheme="minorHAnsi"/>
          <w:i/>
          <w:spacing w:val="1"/>
        </w:rPr>
        <w:t xml:space="preserve"> </w:t>
      </w:r>
      <w:r w:rsidRPr="00ED7980">
        <w:rPr>
          <w:rFonts w:cstheme="minorHAnsi"/>
          <w:i/>
        </w:rPr>
        <w:t>onarımından</w:t>
      </w:r>
      <w:r w:rsidRPr="00ED7980">
        <w:rPr>
          <w:rFonts w:cstheme="minorHAnsi"/>
          <w:i/>
          <w:spacing w:val="1"/>
        </w:rPr>
        <w:t xml:space="preserve"> </w:t>
      </w:r>
      <w:r w:rsidRPr="00ED7980">
        <w:rPr>
          <w:rFonts w:cstheme="minorHAnsi"/>
          <w:i/>
        </w:rPr>
        <w:t>proje</w:t>
      </w:r>
      <w:r w:rsidRPr="00ED7980">
        <w:rPr>
          <w:rFonts w:cstheme="minorHAnsi"/>
          <w:i/>
          <w:spacing w:val="1"/>
        </w:rPr>
        <w:t xml:space="preserve"> </w:t>
      </w:r>
      <w:r w:rsidRPr="00ED7980">
        <w:rPr>
          <w:rFonts w:cstheme="minorHAnsi"/>
          <w:i/>
        </w:rPr>
        <w:t>yürütücüleri sorumludur.</w:t>
      </w:r>
      <w:r w:rsidRPr="00ED7980">
        <w:rPr>
          <w:rFonts w:cstheme="minorHAnsi"/>
          <w:i/>
          <w:spacing w:val="1"/>
        </w:rPr>
        <w:t xml:space="preserve"> </w:t>
      </w:r>
      <w:r w:rsidRPr="00ED7980">
        <w:rPr>
          <w:rFonts w:cstheme="minorHAnsi"/>
          <w:i/>
        </w:rPr>
        <w:t>Tamamlanan projelere ait, özellik arz eden makine ve teçhizatlar ise ihtiyaç duyan</w:t>
      </w:r>
      <w:r w:rsidRPr="00ED7980">
        <w:rPr>
          <w:rFonts w:cstheme="minorHAnsi"/>
          <w:i/>
          <w:spacing w:val="1"/>
        </w:rPr>
        <w:t xml:space="preserve"> </w:t>
      </w:r>
      <w:r w:rsidRPr="00ED7980">
        <w:rPr>
          <w:rFonts w:cstheme="minorHAnsi"/>
          <w:i/>
        </w:rPr>
        <w:t xml:space="preserve">üniversitemiz araştırmacılarının kullanımına açıktır. Komisyon, bu tür makine ve </w:t>
      </w:r>
      <w:proofErr w:type="spellStart"/>
      <w:r w:rsidRPr="00ED7980">
        <w:rPr>
          <w:rFonts w:cstheme="minorHAnsi"/>
          <w:i/>
        </w:rPr>
        <w:t>teçhizatlarla</w:t>
      </w:r>
      <w:proofErr w:type="spellEnd"/>
      <w:r w:rsidRPr="00ED7980">
        <w:rPr>
          <w:rFonts w:cstheme="minorHAnsi"/>
          <w:i/>
        </w:rPr>
        <w:t xml:space="preserve"> ilgili olarak,</w:t>
      </w:r>
      <w:r w:rsidRPr="00ED7980">
        <w:rPr>
          <w:rFonts w:cstheme="minorHAnsi"/>
          <w:i/>
          <w:spacing w:val="1"/>
        </w:rPr>
        <w:t xml:space="preserve"> </w:t>
      </w:r>
      <w:r w:rsidRPr="00ED7980">
        <w:rPr>
          <w:rFonts w:cstheme="minorHAnsi"/>
          <w:i/>
        </w:rPr>
        <w:t>ortak bir alanda kullanıma sunulmaları, başka projelerde kullanılmak üzere geri alınmaları veya gerekli göreceği</w:t>
      </w:r>
      <w:r w:rsidRPr="00ED7980">
        <w:rPr>
          <w:rFonts w:cstheme="minorHAnsi"/>
          <w:i/>
          <w:spacing w:val="1"/>
        </w:rPr>
        <w:t xml:space="preserve"> </w:t>
      </w:r>
      <w:r w:rsidRPr="00ED7980">
        <w:rPr>
          <w:rFonts w:cstheme="minorHAnsi"/>
          <w:i/>
        </w:rPr>
        <w:t>diğer</w:t>
      </w:r>
      <w:r w:rsidRPr="00ED7980">
        <w:rPr>
          <w:rFonts w:cstheme="minorHAnsi"/>
          <w:i/>
          <w:spacing w:val="1"/>
        </w:rPr>
        <w:t xml:space="preserve"> </w:t>
      </w:r>
      <w:r w:rsidRPr="00ED7980">
        <w:rPr>
          <w:rFonts w:cstheme="minorHAnsi"/>
          <w:i/>
        </w:rPr>
        <w:t>tasarruflarda bulunmaya yetkilidir.</w:t>
      </w:r>
      <w:r w:rsidR="00E279CC" w:rsidRPr="00ED7980">
        <w:rPr>
          <w:rFonts w:cstheme="minorHAnsi"/>
          <w:i/>
        </w:rPr>
        <w:t>”</w:t>
      </w:r>
      <w:r w:rsidR="00E279CC" w:rsidRPr="00ED7980">
        <w:rPr>
          <w:rFonts w:cstheme="minorHAnsi"/>
        </w:rPr>
        <w:t xml:space="preserve"> gereğince; İlişik kesme, projenin tamamlanması gibi durumlarda demirbaş yürütücüde ise yürütücü, BAP Komisyon kararı ile yapılan devirlerde devrin yapıldığı araştırmacı, kullandığı demirbaşı çalışır ve eksiksiz bir şekilde birime tesliminden sorumludur.</w:t>
      </w:r>
    </w:p>
    <w:p w:rsidR="00024D7B" w:rsidRPr="00ED7980" w:rsidRDefault="00E279CC" w:rsidP="00582BF6">
      <w:pPr>
        <w:pStyle w:val="ListeParagraf"/>
        <w:numPr>
          <w:ilvl w:val="0"/>
          <w:numId w:val="1"/>
        </w:numPr>
        <w:ind w:left="284" w:hanging="284"/>
        <w:jc w:val="both"/>
        <w:rPr>
          <w:rFonts w:cstheme="minorHAnsi"/>
        </w:rPr>
      </w:pPr>
      <w:r w:rsidRPr="00ED7980">
        <w:rPr>
          <w:rFonts w:cstheme="minorHAnsi"/>
        </w:rPr>
        <w:t>BAP projesi devam ederken</w:t>
      </w:r>
      <w:r w:rsidR="00420F7A">
        <w:rPr>
          <w:rFonts w:cstheme="minorHAnsi"/>
        </w:rPr>
        <w:t xml:space="preserve"> K</w:t>
      </w:r>
      <w:bookmarkStart w:id="0" w:name="_GoBack"/>
      <w:bookmarkEnd w:id="0"/>
      <w:r w:rsidR="00867999">
        <w:rPr>
          <w:rFonts w:cstheme="minorHAnsi"/>
        </w:rPr>
        <w:t>urum içinde</w:t>
      </w:r>
      <w:r w:rsidRPr="00ED7980">
        <w:rPr>
          <w:rFonts w:cstheme="minorHAnsi"/>
        </w:rPr>
        <w:t xml:space="preserve"> birim değişikliği yapan</w:t>
      </w:r>
      <w:r w:rsidR="00E23044" w:rsidRPr="00ED7980">
        <w:rPr>
          <w:rFonts w:cstheme="minorHAnsi"/>
        </w:rPr>
        <w:t xml:space="preserve"> ve üstündeki zimmetli demirbaşı yeni görev yapacağı birime taşımak zorunda olan yürütücü </w:t>
      </w:r>
      <w:r w:rsidR="00867999">
        <w:rPr>
          <w:rFonts w:cstheme="minorHAnsi"/>
        </w:rPr>
        <w:t>BAP Koordinasyon Birimine</w:t>
      </w:r>
      <w:r w:rsidR="00E23044" w:rsidRPr="00ED7980">
        <w:rPr>
          <w:rFonts w:cstheme="minorHAnsi"/>
        </w:rPr>
        <w:t xml:space="preserve"> konuyla ilgili yazılı bildirimde bulunmak zorundadır.</w:t>
      </w:r>
    </w:p>
    <w:p w:rsidR="00C127C1" w:rsidRPr="00ED7980" w:rsidRDefault="00582BF6" w:rsidP="00E23044">
      <w:pPr>
        <w:pStyle w:val="ListeParagraf"/>
        <w:numPr>
          <w:ilvl w:val="0"/>
          <w:numId w:val="1"/>
        </w:numPr>
        <w:ind w:left="284" w:hanging="284"/>
        <w:jc w:val="both"/>
        <w:rPr>
          <w:rFonts w:cstheme="minorHAnsi"/>
        </w:rPr>
      </w:pPr>
      <w:proofErr w:type="gramStart"/>
      <w:r w:rsidRPr="00ED7980">
        <w:t xml:space="preserve">TÜBİTAK </w:t>
      </w:r>
      <w:r w:rsidR="00024D7B" w:rsidRPr="00ED7980">
        <w:t xml:space="preserve">Kaynaklarından Genel Bütçe Kapsamındaki Kamu İdareleri İle Özel Bütçeli İdarelere Proje Karşılığı Aktarılacak Tutarların Harcanması Ve TÜBİTAK Tarafından Yürütülen Dış Destekli Projelerin Harcamalarının Gerçekleştirilmesine İlişkin Esas Ve Usuller </w:t>
      </w:r>
      <w:r w:rsidRPr="00ED7980">
        <w:t>21. maddesi “</w:t>
      </w:r>
      <w:r w:rsidRPr="00ED7980">
        <w:rPr>
          <w:i/>
        </w:rPr>
        <w:t xml:space="preserve">Taşınır Mal Yönetmeliğinde “dayanıklı taşınırlar” olarak tanımlanan ve kesin olarak mülkiyetinin yürütücü kuruluşta kalacağı kabul edilen malzeme ve cihazların muayene ve kabulü yapılarak kurum taşınırlarına projelerin fiilen yürütüldüğü birim adına kaydedilir ve "Taşınır İşlem </w:t>
      </w:r>
      <w:proofErr w:type="spellStart"/>
      <w:r w:rsidRPr="00ED7980">
        <w:rPr>
          <w:i/>
        </w:rPr>
        <w:t>Fişi"nin</w:t>
      </w:r>
      <w:proofErr w:type="spellEnd"/>
      <w:r w:rsidRPr="00ED7980">
        <w:rPr>
          <w:i/>
        </w:rPr>
        <w:t xml:space="preserve"> bir örneği ödeme belgesine eklenir. </w:t>
      </w:r>
      <w:proofErr w:type="gramEnd"/>
      <w:r w:rsidRPr="00ED7980">
        <w:rPr>
          <w:i/>
        </w:rPr>
        <w:t xml:space="preserve">Kaydedilen taşınır zimmet fişi düzenlenerek ilgili yürütücünün veya uygun gördüğü bir proje personelinin kullanımına tahsis edilir. </w:t>
      </w:r>
      <w:r w:rsidR="00024D7B" w:rsidRPr="00ED7980">
        <w:rPr>
          <w:i/>
        </w:rPr>
        <w:t>…</w:t>
      </w:r>
      <w:r w:rsidR="00E03AC8" w:rsidRPr="00ED7980">
        <w:rPr>
          <w:i/>
        </w:rPr>
        <w:t xml:space="preserve"> </w:t>
      </w:r>
      <w:proofErr w:type="gramStart"/>
      <w:r w:rsidRPr="00ED7980">
        <w:rPr>
          <w:i/>
        </w:rPr>
        <w:t>bu</w:t>
      </w:r>
      <w:proofErr w:type="gramEnd"/>
      <w:r w:rsidRPr="00ED7980">
        <w:rPr>
          <w:i/>
        </w:rPr>
        <w:t xml:space="preserve"> taşınırların proje tamamlanıncaya kadar tüm sorumluluğu proje yürütücülerine aittir. Sözleşme sonuçlandıktan sonra proje sözleşmesi hükümleri doğrultusunda ilgili kurum/kuruluşlara devri gereken malzeme ve cihazların devri yapılarak ilgili kurum/kuruluşların ayniyat kayıtlarına </w:t>
      </w:r>
      <w:proofErr w:type="gramStart"/>
      <w:r w:rsidRPr="00ED7980">
        <w:rPr>
          <w:i/>
        </w:rPr>
        <w:t>dahil</w:t>
      </w:r>
      <w:proofErr w:type="gramEnd"/>
      <w:r w:rsidRPr="00ED7980">
        <w:rPr>
          <w:i/>
        </w:rPr>
        <w:t xml:space="preserve"> edilir.” </w:t>
      </w:r>
      <w:r w:rsidR="00E03AC8" w:rsidRPr="00ED7980">
        <w:t>g</w:t>
      </w:r>
      <w:r w:rsidRPr="00ED7980">
        <w:t>ereğince</w:t>
      </w:r>
      <w:r w:rsidR="00E03AC8" w:rsidRPr="00ED7980">
        <w:t xml:space="preserve"> TÜBİTAK projelerinden temin edilen demirbaşların zimmet ve muhafazası yapılır.</w:t>
      </w:r>
    </w:p>
    <w:p w:rsidR="005663CF" w:rsidRPr="00ED7980" w:rsidRDefault="005663CF" w:rsidP="00E23044">
      <w:pPr>
        <w:pStyle w:val="ListeParagraf"/>
        <w:numPr>
          <w:ilvl w:val="0"/>
          <w:numId w:val="1"/>
        </w:numPr>
        <w:ind w:left="284" w:hanging="284"/>
        <w:jc w:val="both"/>
        <w:rPr>
          <w:rFonts w:cstheme="minorHAnsi"/>
        </w:rPr>
      </w:pPr>
      <w:r w:rsidRPr="00ED7980">
        <w:t>Geçmiş dönemlere ait taşınır işlemlerinde hatalı ya da eksik bir kayıt tespit edildiğinde düzeltme işlemleri için Merkezimize bilgi verilmelidir.</w:t>
      </w:r>
    </w:p>
    <w:p w:rsidR="00C127C1" w:rsidRPr="00ED7980" w:rsidRDefault="00C127C1" w:rsidP="005663CF">
      <w:pPr>
        <w:pStyle w:val="ListeParagraf"/>
        <w:numPr>
          <w:ilvl w:val="0"/>
          <w:numId w:val="1"/>
        </w:numPr>
        <w:ind w:left="284" w:hanging="284"/>
        <w:jc w:val="both"/>
        <w:rPr>
          <w:rFonts w:cstheme="minorHAnsi"/>
        </w:rPr>
      </w:pPr>
      <w:r w:rsidRPr="00ED7980">
        <w:rPr>
          <w:rFonts w:cstheme="minorHAnsi"/>
        </w:rPr>
        <w:t>T</w:t>
      </w:r>
      <w:r w:rsidR="00E03AC8" w:rsidRPr="00ED7980">
        <w:rPr>
          <w:rFonts w:cstheme="minorHAnsi"/>
        </w:rPr>
        <w:t xml:space="preserve">üm bu iş ve işlemler </w:t>
      </w:r>
      <w:r w:rsidR="005663CF" w:rsidRPr="00ED7980">
        <w:rPr>
          <w:rFonts w:cstheme="minorHAnsi"/>
        </w:rPr>
        <w:t>T</w:t>
      </w:r>
      <w:r w:rsidRPr="00ED7980">
        <w:rPr>
          <w:rFonts w:cstheme="minorHAnsi"/>
        </w:rPr>
        <w:t xml:space="preserve">aşınır </w:t>
      </w:r>
      <w:r w:rsidR="005663CF" w:rsidRPr="00ED7980">
        <w:rPr>
          <w:rFonts w:cstheme="minorHAnsi"/>
        </w:rPr>
        <w:t>Mal Yönetmeliği hükümlerine uygun olarak gerçekleştirilmelidir.</w:t>
      </w:r>
    </w:p>
    <w:p w:rsidR="00044012" w:rsidRPr="00ED7980" w:rsidRDefault="00044012" w:rsidP="00FD1238">
      <w:pPr>
        <w:jc w:val="both"/>
        <w:rPr>
          <w:rFonts w:cstheme="minorHAnsi"/>
        </w:rPr>
      </w:pPr>
    </w:p>
    <w:p w:rsidR="00E279CC" w:rsidRPr="00ED7980" w:rsidRDefault="00E279CC" w:rsidP="00FD1238">
      <w:pPr>
        <w:jc w:val="both"/>
        <w:rPr>
          <w:rFonts w:cstheme="minorHAnsi"/>
        </w:rPr>
      </w:pPr>
    </w:p>
    <w:sectPr w:rsidR="00E279CC" w:rsidRPr="00ED7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F0FC9"/>
    <w:multiLevelType w:val="hybridMultilevel"/>
    <w:tmpl w:val="7D78F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D3"/>
    <w:rsid w:val="00024D7B"/>
    <w:rsid w:val="00044012"/>
    <w:rsid w:val="000A2611"/>
    <w:rsid w:val="001C4C2B"/>
    <w:rsid w:val="001C65FC"/>
    <w:rsid w:val="003F1E96"/>
    <w:rsid w:val="00420F7A"/>
    <w:rsid w:val="005663CF"/>
    <w:rsid w:val="00582BF6"/>
    <w:rsid w:val="006B29AB"/>
    <w:rsid w:val="007F30D3"/>
    <w:rsid w:val="00867999"/>
    <w:rsid w:val="00887BCE"/>
    <w:rsid w:val="00C127C1"/>
    <w:rsid w:val="00E03AC8"/>
    <w:rsid w:val="00E23044"/>
    <w:rsid w:val="00E279CC"/>
    <w:rsid w:val="00E4182C"/>
    <w:rsid w:val="00ED7980"/>
    <w:rsid w:val="00EF0A95"/>
    <w:rsid w:val="00FD1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29AB"/>
    <w:pPr>
      <w:widowControl w:val="0"/>
      <w:autoSpaceDE w:val="0"/>
      <w:autoSpaceDN w:val="0"/>
      <w:spacing w:after="0" w:line="240" w:lineRule="auto"/>
      <w:ind w:left="231"/>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1238"/>
    <w:pPr>
      <w:ind w:left="720"/>
      <w:contextualSpacing/>
    </w:pPr>
  </w:style>
  <w:style w:type="character" w:customStyle="1" w:styleId="Balk1Char">
    <w:name w:val="Başlık 1 Char"/>
    <w:basedOn w:val="VarsaylanParagrafYazTipi"/>
    <w:link w:val="Balk1"/>
    <w:uiPriority w:val="9"/>
    <w:rsid w:val="006B29AB"/>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6B29A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6B29AB"/>
    <w:rPr>
      <w:rFonts w:ascii="Times New Roman" w:eastAsia="Times New Roman" w:hAnsi="Times New Roman" w:cs="Times New Roman"/>
      <w:sz w:val="20"/>
      <w:szCs w:val="20"/>
    </w:rPr>
  </w:style>
  <w:style w:type="table" w:styleId="TabloKlavuzu">
    <w:name w:val="Table Grid"/>
    <w:basedOn w:val="NormalTablo"/>
    <w:uiPriority w:val="59"/>
    <w:rsid w:val="006B29AB"/>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29AB"/>
    <w:pPr>
      <w:widowControl w:val="0"/>
      <w:autoSpaceDE w:val="0"/>
      <w:autoSpaceDN w:val="0"/>
      <w:spacing w:after="0" w:line="240" w:lineRule="auto"/>
      <w:ind w:left="231"/>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1238"/>
    <w:pPr>
      <w:ind w:left="720"/>
      <w:contextualSpacing/>
    </w:pPr>
  </w:style>
  <w:style w:type="character" w:customStyle="1" w:styleId="Balk1Char">
    <w:name w:val="Başlık 1 Char"/>
    <w:basedOn w:val="VarsaylanParagrafYazTipi"/>
    <w:link w:val="Balk1"/>
    <w:uiPriority w:val="9"/>
    <w:rsid w:val="006B29AB"/>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6B29A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6B29AB"/>
    <w:rPr>
      <w:rFonts w:ascii="Times New Roman" w:eastAsia="Times New Roman" w:hAnsi="Times New Roman" w:cs="Times New Roman"/>
      <w:sz w:val="20"/>
      <w:szCs w:val="20"/>
    </w:rPr>
  </w:style>
  <w:style w:type="table" w:styleId="TabloKlavuzu">
    <w:name w:val="Table Grid"/>
    <w:basedOn w:val="NormalTablo"/>
    <w:uiPriority w:val="59"/>
    <w:rsid w:val="006B29AB"/>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536</Words>
  <Characters>3060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14</cp:revision>
  <dcterms:created xsi:type="dcterms:W3CDTF">2024-05-09T06:06:00Z</dcterms:created>
  <dcterms:modified xsi:type="dcterms:W3CDTF">2024-10-14T08:11:00Z</dcterms:modified>
</cp:coreProperties>
</file>