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42" w:rsidRDefault="00DB6842" w:rsidP="00DB6842">
      <w:r>
        <w:t>ELEKTRİK İŞLERİNDE ÇALIŞMA İSG TALİMATLARI</w:t>
      </w:r>
    </w:p>
    <w:p w:rsidR="00DB6842" w:rsidRDefault="00DB6842" w:rsidP="00DB6842"/>
    <w:p w:rsidR="00DB6842" w:rsidRDefault="00DB6842" w:rsidP="00DB6842">
      <w:r>
        <w:t>1. Ana elektrik tesisatının bulunduğu yerlere sadece yetkili personel girmelidir.</w:t>
      </w:r>
    </w:p>
    <w:p w:rsidR="00DB6842" w:rsidRDefault="00DB6842" w:rsidP="00DB6842">
      <w:r>
        <w:t xml:space="preserve">2. Tekniğine uygun olmayan elektrik tesisatının kullanımına izin verilmemelidir. </w:t>
      </w:r>
    </w:p>
    <w:p w:rsidR="00DB6842" w:rsidRDefault="00DB6842" w:rsidP="00DB6842">
      <w:r>
        <w:t xml:space="preserve">3. Mevcut binaların elektrik iç tesisatında yapılacak değişiklik ve onarımlarda Elektrik Tesisleri Genel Teknik Şartnamesi ve Uygulama Esaslarına aykırı işlem yapılmamalıdır. </w:t>
      </w:r>
    </w:p>
    <w:p w:rsidR="00DB6842" w:rsidRDefault="00DB6842" w:rsidP="00DB6842">
      <w:r>
        <w:t xml:space="preserve">4. Enerji altında çalışma yapılmamalıdır ve enerjinin kesildiğinden kesin emin olmadan işe başlanmamalıdır.  </w:t>
      </w:r>
    </w:p>
    <w:p w:rsidR="00DB6842" w:rsidRDefault="00DB6842" w:rsidP="00DB6842">
      <w:r>
        <w:t xml:space="preserve">5. Çalışmaya başlamadan önce çalışılan alana uygun kişisel koruyucu donanımlar kullanılmalıdır. </w:t>
      </w:r>
    </w:p>
    <w:p w:rsidR="00DB6842" w:rsidRDefault="00DB6842" w:rsidP="00DB6842">
      <w:r>
        <w:t xml:space="preserve">6. Elektrik panolarına, kontrol kutularına veya acil durum şalterlerine ulaşımı engelleyecek şekilde malzeme stoklanmamalıdır. Elektrik panolarının ön kısımlarında geçişi güçleştirecek malzeme bırakılmamalıdır. </w:t>
      </w:r>
    </w:p>
    <w:p w:rsidR="00DB6842" w:rsidRDefault="00DB6842" w:rsidP="00DB6842">
      <w:r>
        <w:t xml:space="preserve"> 7. Elektrik kablolarının bulunduğu kablo kanalları kuru tutulmalıdır. </w:t>
      </w:r>
    </w:p>
    <w:p w:rsidR="00DB6842" w:rsidRDefault="00DB6842" w:rsidP="00DB6842">
      <w:r>
        <w:t xml:space="preserve"> 8. Tamir durumu hariç, Trafo merkezleri kapıları, elektrik pano odası kapıları ve pano kapakları kapalı ve kilitli tutulmalıdır. Bu alanlarda tehlike uyarı levhaları bulunmalıdır.</w:t>
      </w:r>
    </w:p>
    <w:p w:rsidR="00DB6842" w:rsidRDefault="00DB6842" w:rsidP="00DB6842">
      <w:r>
        <w:t xml:space="preserve"> 9. Tüm panolar topraklanmalıdır.  </w:t>
      </w:r>
    </w:p>
    <w:p w:rsidR="00DB6842" w:rsidRDefault="00DB6842" w:rsidP="00DB6842">
      <w:r>
        <w:t>10. Ana panolarda 300 mA, kat panolarında 30mA değerinde kaçak akım röleleri bulunmalıdır. Kaçak akım röleleri pasif edilmemelidir.</w:t>
      </w:r>
    </w:p>
    <w:p w:rsidR="00DB6842" w:rsidRDefault="00DB6842" w:rsidP="00DB6842">
      <w:r>
        <w:t xml:space="preserve"> 11. Elektrikli aletleri kullanırken ıslak veya nemli zeminler üzerinde durulmamalıdır.  </w:t>
      </w:r>
    </w:p>
    <w:p w:rsidR="00DB6842" w:rsidRDefault="00DB6842" w:rsidP="00DB6842">
      <w:r>
        <w:t xml:space="preserve">12. Elektrik kablolarının takılma ve düşmelere sebep olmaması için tedbir alınmalıdır.  </w:t>
      </w:r>
    </w:p>
    <w:p w:rsidR="00DB6842" w:rsidRDefault="00DB6842" w:rsidP="00DB6842">
      <w:r>
        <w:t xml:space="preserve">13. Elektriğin kesildiği esnada pano veya şalter üzerine uyarı levhası asılmalıdır.  </w:t>
      </w:r>
    </w:p>
    <w:p w:rsidR="00DB6842" w:rsidRDefault="00DB6842" w:rsidP="00DB6842">
      <w:r>
        <w:t xml:space="preserve">14. Kusurlu bir ekipman tespit edildiğinde derhal servisten çekilmelidir. </w:t>
      </w:r>
    </w:p>
    <w:p w:rsidR="00DB6842" w:rsidRDefault="00DB6842" w:rsidP="00DB6842">
      <w:r>
        <w:t xml:space="preserve">15. Tüm elektrik panolarına ve güç kaynaklarına uygun uyarı levhaları asılmalıdır.  </w:t>
      </w:r>
    </w:p>
    <w:p w:rsidR="00DB6842" w:rsidRDefault="00DB6842" w:rsidP="00DB6842">
      <w:r>
        <w:t>16. Elektrik kabloları muntazam döşenmiş olmalı, kırık fiş ve prizler onarılmalı, sigortalar kapalı dolap içerisinde bulundurulmalıdır.</w:t>
      </w:r>
    </w:p>
    <w:p w:rsidR="00DB6842" w:rsidRDefault="00DB6842" w:rsidP="00DB6842">
      <w:r>
        <w:t xml:space="preserve"> 17. Büyük mutfaklar, bulaşık yıkama yerleri, soğuk hava depoları, su pompa daireleri ve kazan daireleri, çamaşırhane, mutfak gibi nemli ve ıslak yerler ile parlama ve patlama tehlikesi oluşabilecek tozlu yerlerde;  </w:t>
      </w:r>
    </w:p>
    <w:p w:rsidR="00DB6842" w:rsidRDefault="00DB6842" w:rsidP="00DB6842">
      <w:r>
        <w:lastRenderedPageBreak/>
        <w:t xml:space="preserve">a. Aydınlatma lambaları, fiş ve prizler ile anahtarlar su damlalarına ve toza karşı tamamen korunmuş tipte olmalı,  </w:t>
      </w:r>
    </w:p>
    <w:p w:rsidR="00DB6842" w:rsidRDefault="00DB6842" w:rsidP="00DB6842">
      <w:r>
        <w:t xml:space="preserve">b. Sigortalar tehlikeli ortamın dışında bulundurulmalı, </w:t>
      </w:r>
    </w:p>
    <w:p w:rsidR="00DB6842" w:rsidRDefault="00DB6842" w:rsidP="00DB6842">
      <w:r>
        <w:t xml:space="preserve"> c. Yıpratıcı etkisi olan buhar ve dumana açık metal parçalar, koruyucu boya ya da dayanıklı gereçler kullanılarak korozyona karşı korunmalıdır.</w:t>
      </w:r>
    </w:p>
    <w:p w:rsidR="00DB6842" w:rsidRDefault="00DB6842" w:rsidP="00DB6842">
      <w:r>
        <w:t xml:space="preserve"> 18. Doğalgazlı kazan dairesinde bulunan ve enerjinin alınacağı enerji tablosunun, etanj tipi patlama ve kıvılcım güvenlikli olması, kumanda butonlarının pano ön kapağına monte edilmesi ve kapak açılmadan butonlar ile çalıştırılması ve kapatılması gerekir.</w:t>
      </w:r>
    </w:p>
    <w:p w:rsidR="00DB6842" w:rsidRDefault="00DB6842" w:rsidP="00DB6842">
      <w:r>
        <w:t xml:space="preserve"> 19. Kazan dairelerinde aydınlatma sistemleri; tavandan en az 50 cm sarkacak şekilde veya üst havalandırma seviyesinin altında kalacak şekilde veya yan duvarlara etanj tipi fluoresan veya contalı glop tipi armatürler ile yapılır ve tesisat antigron olarak tesis edilir.  </w:t>
      </w:r>
    </w:p>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r>
        <w:t xml:space="preserve">TEBELLÜĞ EDEN </w:t>
      </w:r>
      <w:r>
        <w:tab/>
      </w:r>
      <w:r>
        <w:tab/>
      </w:r>
      <w:r>
        <w:tab/>
      </w:r>
      <w:r>
        <w:tab/>
      </w:r>
      <w:r>
        <w:tab/>
      </w:r>
      <w:r>
        <w:tab/>
      </w:r>
      <w:r>
        <w:tab/>
        <w:t xml:space="preserve">TEBLİĞ EDEN </w:t>
      </w:r>
    </w:p>
    <w:p w:rsidR="00DB6842" w:rsidRDefault="00DB6842" w:rsidP="00DB6842">
      <w:r>
        <w:t xml:space="preserve">Adı Soyadı: </w:t>
      </w:r>
      <w:r>
        <w:tab/>
      </w:r>
      <w:r>
        <w:tab/>
      </w:r>
      <w:r>
        <w:tab/>
      </w:r>
      <w:r>
        <w:tab/>
      </w:r>
      <w:r>
        <w:tab/>
      </w:r>
      <w:r>
        <w:tab/>
      </w:r>
      <w:r>
        <w:tab/>
      </w:r>
      <w:r>
        <w:tab/>
        <w:t xml:space="preserve">Adı Soyadı: </w:t>
      </w:r>
    </w:p>
    <w:p w:rsidR="00DB6842" w:rsidRDefault="00DB6842" w:rsidP="00DB6842">
      <w:r>
        <w:t xml:space="preserve">İmza: </w:t>
      </w:r>
      <w:r>
        <w:tab/>
      </w:r>
      <w:r>
        <w:tab/>
      </w:r>
      <w:r>
        <w:tab/>
      </w:r>
      <w:r>
        <w:tab/>
      </w:r>
      <w:r>
        <w:tab/>
      </w:r>
      <w:r>
        <w:tab/>
      </w:r>
      <w:r>
        <w:tab/>
      </w:r>
      <w:r>
        <w:tab/>
        <w:t xml:space="preserve">       </w:t>
      </w:r>
      <w:r>
        <w:tab/>
        <w:t>İmza:</w:t>
      </w:r>
    </w:p>
    <w:p w:rsidR="00DB6842" w:rsidRDefault="00DB6842" w:rsidP="00DB6842">
      <w:r>
        <w:t xml:space="preserve">Tarih: </w:t>
      </w:r>
      <w:r>
        <w:tab/>
      </w:r>
      <w:r>
        <w:tab/>
      </w:r>
      <w:r>
        <w:tab/>
      </w:r>
      <w:r>
        <w:tab/>
      </w:r>
      <w:r>
        <w:tab/>
      </w:r>
      <w:r>
        <w:tab/>
      </w:r>
      <w:r>
        <w:tab/>
      </w:r>
      <w:r>
        <w:tab/>
      </w:r>
      <w:r>
        <w:tab/>
        <w:t>Tarih:</w:t>
      </w:r>
    </w:p>
    <w:p w:rsidR="00DB6842" w:rsidRDefault="00DB6842" w:rsidP="00DB6842"/>
    <w:p w:rsidR="00837776" w:rsidRDefault="00837776" w:rsidP="00DB6842"/>
    <w:p w:rsidR="00837776" w:rsidRDefault="00837776" w:rsidP="00DB6842"/>
    <w:p w:rsidR="00DB6842" w:rsidRDefault="00DB6842" w:rsidP="00DB6842">
      <w:r>
        <w:lastRenderedPageBreak/>
        <w:t>YÜKSEK GERİLİMDE ÇALIŞMA İSG TALİMATLARI</w:t>
      </w:r>
    </w:p>
    <w:p w:rsidR="00DB6842" w:rsidRDefault="00DB6842" w:rsidP="00DB6842"/>
    <w:p w:rsidR="00DB6842" w:rsidRDefault="00DB6842" w:rsidP="00DB6842">
      <w:r>
        <w:t>1. Elektrik panosu ve tesisatında yetkili personelden başkası çalışma yapamaz.</w:t>
      </w:r>
    </w:p>
    <w:p w:rsidR="00DB6842" w:rsidRDefault="00DB6842" w:rsidP="00DB6842">
      <w:r>
        <w:t xml:space="preserve">2. Yüksek Gerilim (YG) dağıtım panolarında EKAT belgesi olmayan personel çalıştırılamaz.  3. YG dağıtım panoları veya trafo bölümlerinde çalışma yapılacağı zaman mutlak suretle kişisel koruyucu donanımlarınızı yanınızda bulundurun ve kullanın (YG: Yalıtkan ayakkabı ve eldiven, yalıtkan baret, voltaj dedektörü, izole halı veya sehpa, fener) </w:t>
      </w:r>
    </w:p>
    <w:p w:rsidR="00DB6842" w:rsidRDefault="00DB6842" w:rsidP="00DB6842">
      <w:r>
        <w:t>4. Yangın tüpü bulunmayan trafo merkezlerde çalışma yapılacağı zaman ihtiyaç halinde kullanmak üzere yanınızda seyyar kuru kimyevi tozlu yangın söndürücüler bulundurun.</w:t>
      </w:r>
    </w:p>
    <w:p w:rsidR="00DB6842" w:rsidRDefault="00DB6842" w:rsidP="00DB6842">
      <w:r>
        <w:t xml:space="preserve"> 5. ENERJİ ALTINDA ÇALIŞMA YAPMAK YASAKTIR! Çalışma yapılacak bölümün enerjisini kesin ve çalışma esnasında kazara enerji verilmesini önlemek için gerekli önlemleri alın. </w:t>
      </w:r>
    </w:p>
    <w:p w:rsidR="00DB6842" w:rsidRDefault="00DB6842" w:rsidP="00DB6842">
      <w:r>
        <w:t xml:space="preserve">6. Çalışmalarda bir önceki trafo merkezi veya teiaş trafo merkezi gibi enerji alınan merkezden enerjiyi kesin/kestirin ve çalışma bitimine kadar hattın topraklamasını yapın. </w:t>
      </w:r>
    </w:p>
    <w:p w:rsidR="00DB6842" w:rsidRDefault="00DB6842" w:rsidP="00DB6842">
      <w:r>
        <w:t xml:space="preserve">7. Modüler tip hücrelerde (kapalı tip sistemlerde) bir önceki merkezden enerji kesilmeden giriş hücresi kesinlikle topraklanmayacaktır. </w:t>
      </w:r>
    </w:p>
    <w:p w:rsidR="00DB6842" w:rsidRDefault="00DB6842" w:rsidP="00DB6842">
      <w:r>
        <w:t xml:space="preserve">8. Trafo bölümünün kapısı enerji altındayken açılmamalıdır. </w:t>
      </w:r>
    </w:p>
    <w:p w:rsidR="00DB6842" w:rsidRDefault="00DB6842" w:rsidP="00DB6842">
      <w:r>
        <w:t xml:space="preserve"> 9. Trafoların enerjisi kesildiğinde neon lamba ile enerji kontrolü yapmadan güvenli yaklaşma mesafesini geçmeyin. </w:t>
      </w:r>
    </w:p>
    <w:p w:rsidR="00DB6842" w:rsidRDefault="00DB6842" w:rsidP="00DB6842">
      <w:r>
        <w:t xml:space="preserve">10. İşlem yapmadan önce mutlaka neon lamba ile enerji kontrolü yapın. </w:t>
      </w:r>
    </w:p>
    <w:p w:rsidR="00DB6842" w:rsidRDefault="00DB6842" w:rsidP="00DB6842">
      <w:r>
        <w:t xml:space="preserve">11. Çalışma alanını kontrol edin ve güvenli çalışmaya elverişli olduğuna kanaat getirdikten sonra çalışmaya başlayın,  çalışma alanındaki gereksiz malzemeleri çıkarın, </w:t>
      </w:r>
    </w:p>
    <w:p w:rsidR="00DB6842" w:rsidRDefault="00DB6842" w:rsidP="00DB6842">
      <w:r>
        <w:t xml:space="preserve">12. Çalışma esnasında kullanılan araç ve gereçleri güvenli çalışmayı engellemeyecek şekilde kullanılıp kaldırılacaktır, işi biten gereçler gelişi güzel bırakılmayacaktır.  </w:t>
      </w:r>
    </w:p>
    <w:p w:rsidR="00DB6842" w:rsidRDefault="00DB6842" w:rsidP="00DB6842">
      <w:r>
        <w:t xml:space="preserve">13. Elektrik panolarına, kontrol kutularına veya acil durum şalterlerine ulaşımı engelleyecek şekilde malzeme stoklanmayacaktır. </w:t>
      </w:r>
    </w:p>
    <w:p w:rsidR="00DB6842" w:rsidRDefault="00DB6842" w:rsidP="00DB6842">
      <w:r>
        <w:t xml:space="preserve">14. Herhangi nedenle seksiyoner üzerindeki YG sigortaları atarsa, atık sigortayı aynı amperajda bir yenisi ile değiştirin. Kesinlikle sigorta yerine tel bağlamayın!  </w:t>
      </w:r>
    </w:p>
    <w:p w:rsidR="00DB6842" w:rsidRDefault="00DB6842" w:rsidP="00DB6842">
      <w:r>
        <w:t xml:space="preserve">15. YG çalışmalarında mümkün olduğu kadar tek başınıza çalışma yapmayın. </w:t>
      </w:r>
    </w:p>
    <w:p w:rsidR="00DB6842" w:rsidRDefault="00DB6842" w:rsidP="00DB6842">
      <w:r>
        <w:lastRenderedPageBreak/>
        <w:t xml:space="preserve">16.  "ÖNCE İŞ GÜVENLİĞİ" ilkesini daima hatırlayın ve kesinlikle can güvenliğini tehlikeye atabilecek durumlarda çalışmayın. </w:t>
      </w:r>
    </w:p>
    <w:p w:rsidR="00DB6842" w:rsidRDefault="00DB6842" w:rsidP="00DB6842">
      <w:r>
        <w:t xml:space="preserve">17. Yağışlı, fırtınalı, yüklü havalarda; açık alan, havai hat ve yüksekte çalışmayın. Diğer alanlardaki çalışmalarda yıldırım ve yük boşalmasına karşı hat kesinlikle hat başı veya enerji aldığı kabinden topraklanmalıdır. </w:t>
      </w:r>
    </w:p>
    <w:p w:rsidR="00DB6842" w:rsidRDefault="00DB6842" w:rsidP="00DB6842">
      <w:r>
        <w:t xml:space="preserve">18. Yüksek Gerilim Hatlarına Yaklaşım Mesafeleri: </w:t>
      </w:r>
    </w:p>
    <w:p w:rsidR="00DB6842" w:rsidRDefault="00DB6842" w:rsidP="00DB6842">
      <w:r>
        <w:t xml:space="preserve">i. 50 - 3.500 volt arası 30 cm </w:t>
      </w:r>
    </w:p>
    <w:p w:rsidR="00DB6842" w:rsidRDefault="00DB6842" w:rsidP="00DB6842">
      <w:r>
        <w:t xml:space="preserve">ii. 3.500 - 10.000 volt arası 60 cm </w:t>
      </w:r>
    </w:p>
    <w:p w:rsidR="00DB6842" w:rsidRDefault="00DB6842" w:rsidP="00DB6842">
      <w:r>
        <w:t>iii. 10.000 - 50.000 volt arası 90 cm</w:t>
      </w:r>
    </w:p>
    <w:p w:rsidR="00DB6842" w:rsidRDefault="00DB6842" w:rsidP="00DB6842">
      <w:r>
        <w:t xml:space="preserve"> iv. 50.000 - 100.000 volt arası 150 cm  </w:t>
      </w:r>
    </w:p>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r>
        <w:t xml:space="preserve">TEBELLÜĞ EDEN </w:t>
      </w:r>
      <w:r>
        <w:tab/>
      </w:r>
      <w:r>
        <w:tab/>
      </w:r>
      <w:r>
        <w:tab/>
      </w:r>
      <w:r>
        <w:tab/>
      </w:r>
      <w:r>
        <w:tab/>
      </w:r>
      <w:r>
        <w:tab/>
      </w:r>
      <w:r>
        <w:tab/>
        <w:t xml:space="preserve">TEBLİĞ EDEN </w:t>
      </w:r>
    </w:p>
    <w:p w:rsidR="00DB6842" w:rsidRDefault="00DB6842" w:rsidP="00DB6842">
      <w:r>
        <w:t xml:space="preserve">Adı Soyadı: </w:t>
      </w:r>
      <w:r>
        <w:tab/>
      </w:r>
      <w:r>
        <w:tab/>
      </w:r>
      <w:r>
        <w:tab/>
      </w:r>
      <w:r>
        <w:tab/>
      </w:r>
      <w:r>
        <w:tab/>
      </w:r>
      <w:r>
        <w:tab/>
      </w:r>
      <w:r>
        <w:tab/>
      </w:r>
      <w:r>
        <w:tab/>
        <w:t xml:space="preserve">Adı Soyadı: </w:t>
      </w:r>
    </w:p>
    <w:p w:rsidR="00DB6842" w:rsidRDefault="00DB6842" w:rsidP="00DB6842">
      <w:r>
        <w:t xml:space="preserve">İmza: </w:t>
      </w:r>
      <w:r>
        <w:tab/>
      </w:r>
      <w:r>
        <w:tab/>
      </w:r>
      <w:r>
        <w:tab/>
      </w:r>
      <w:r>
        <w:tab/>
      </w:r>
      <w:r>
        <w:tab/>
      </w:r>
      <w:r>
        <w:tab/>
      </w:r>
      <w:r>
        <w:tab/>
      </w:r>
      <w:r>
        <w:tab/>
      </w:r>
      <w:r>
        <w:tab/>
        <w:t>İmza:</w:t>
      </w:r>
    </w:p>
    <w:p w:rsidR="00DB6842" w:rsidRDefault="00DB6842" w:rsidP="00DB6842">
      <w:r>
        <w:t xml:space="preserve">Tarih: </w:t>
      </w:r>
      <w:r>
        <w:tab/>
      </w:r>
      <w:r>
        <w:tab/>
      </w:r>
      <w:r>
        <w:tab/>
      </w:r>
      <w:r>
        <w:tab/>
      </w:r>
      <w:r>
        <w:tab/>
      </w:r>
      <w:r>
        <w:tab/>
      </w:r>
      <w:r>
        <w:tab/>
      </w:r>
      <w:r>
        <w:tab/>
      </w:r>
      <w:r>
        <w:tab/>
        <w:t>Tarih:</w:t>
      </w:r>
    </w:p>
    <w:p w:rsidR="00DB6842" w:rsidRDefault="00DB6842" w:rsidP="00DB6842"/>
    <w:p w:rsidR="00DB6842" w:rsidRDefault="00DB6842" w:rsidP="00DB6842"/>
    <w:p w:rsidR="00DB6842" w:rsidRDefault="00DB6842" w:rsidP="00DB6842"/>
    <w:p w:rsidR="00DB6842" w:rsidRDefault="00DB6842" w:rsidP="00DB6842">
      <w:r>
        <w:lastRenderedPageBreak/>
        <w:t>ALÇAK GERİLİMDE ÇALIŞMA İSG TALİMATLARI</w:t>
      </w:r>
    </w:p>
    <w:p w:rsidR="00DB6842" w:rsidRDefault="00DB6842" w:rsidP="00DB6842"/>
    <w:p w:rsidR="00DB6842" w:rsidRDefault="00DB6842" w:rsidP="00DB6842">
      <w:r>
        <w:t xml:space="preserve">1. Elektrik panosu ve tesisatında yetkili personelden başkası çalışma yapamaz. </w:t>
      </w:r>
    </w:p>
    <w:p w:rsidR="00DB6842" w:rsidRDefault="00DB6842" w:rsidP="00DB6842">
      <w:r>
        <w:t xml:space="preserve">2. İş başlamadan önce pense, yan keski, tornavida, kontrol kalemi ve diğer el aletlerinin sağlam ve kullanmaya elverişli olup olmadığını kontrol edin. </w:t>
      </w:r>
    </w:p>
    <w:p w:rsidR="00DB6842" w:rsidRDefault="00DB6842" w:rsidP="00DB6842">
      <w:r>
        <w:t xml:space="preserve">3. Çalışma alanını kontrol edin ve güvenli çalışmaya elverişli olduğuna kanaat getirdikten sonra çalışmaya başlayın,  çalışma alanındaki gereksiz malzemeleri çıkarın, </w:t>
      </w:r>
    </w:p>
    <w:p w:rsidR="00DB6842" w:rsidRDefault="00DB6842" w:rsidP="00DB6842">
      <w:r>
        <w:t xml:space="preserve">4. Çalışma esnasında kullanılan araç ve gereçleri güvenli çalışmayı engellemeyecek şekilde kullanılıp kaldırılacaktır, işi biten gereçler gelişi güzel bırakılmayacaktır. </w:t>
      </w:r>
    </w:p>
    <w:p w:rsidR="00DB6842" w:rsidRDefault="00DB6842" w:rsidP="00DB6842">
      <w:r>
        <w:t xml:space="preserve"> 5. Elektrik panolarına, kontrol kutularına veya acil durum şalterlerine ulaşımı engelleyecek şekilde malzeme konmamalıdır.</w:t>
      </w:r>
    </w:p>
    <w:p w:rsidR="00DB6842" w:rsidRDefault="00DB6842" w:rsidP="00DB6842">
      <w:r>
        <w:t xml:space="preserve"> 6. Kişisel Koruyucu Donanımlarını giyin. (AG: baret, yalıtkan ayakkabı, eldiven vs.) </w:t>
      </w:r>
    </w:p>
    <w:p w:rsidR="00DB6842" w:rsidRDefault="00DB6842" w:rsidP="00DB6842">
      <w:r>
        <w:t xml:space="preserve">7. Çalışma yapılacak pano önünde sabit izole halı yoksa uygun seyyar izole halı kullanın. </w:t>
      </w:r>
    </w:p>
    <w:p w:rsidR="00DB6842" w:rsidRDefault="00DB6842" w:rsidP="00DB6842">
      <w:r>
        <w:t xml:space="preserve">8. ENERJİ ALTINDA ÇALIŞMA YAPMAK YASAKTIR! Çalışma yapılacak bölümün/panonun enerjisini kesin. Çalışma alanına yakın ve çalışma esnasında tehlike arz edebilecek bölümlerin de enerjisini kesin. </w:t>
      </w:r>
    </w:p>
    <w:p w:rsidR="00DB6842" w:rsidRDefault="00DB6842" w:rsidP="00DB6842">
      <w:r>
        <w:t xml:space="preserve"> 9. Çalışma esnasında kazara enerji verilmesini önlemek için enerjinin kesildiği panoda elektrikçi kilidi kullanın ve hatta çalışma olduğunu gösteren uyarı levhası asın!  </w:t>
      </w:r>
    </w:p>
    <w:p w:rsidR="00DB6842" w:rsidRDefault="00DB6842" w:rsidP="00DB6842">
      <w:r>
        <w:t xml:space="preserve">10. Enerjinin kesildiğinden emin olmadan işe başlamayın, kontrol kalemi veya ölçü aletiyle enerjinin olmadığından emin olun, sonra işe başlayın! </w:t>
      </w:r>
    </w:p>
    <w:p w:rsidR="00DB6842" w:rsidRDefault="00DB6842" w:rsidP="00DB6842">
      <w:r>
        <w:t xml:space="preserve">11. "Önce İş Güvenliği" ilkesini daima hatırlayın ve kesinlikle can güvenliğini tehlikeye atabilecek durumlarda çalışmayın. </w:t>
      </w:r>
    </w:p>
    <w:p w:rsidR="00DB6842" w:rsidRDefault="00DB6842" w:rsidP="00DB6842">
      <w:r>
        <w:t xml:space="preserve">12. Arıza ve benzeri durumlarda elektrik kablolarında yapılan ek yerlerini çok iyi bir şekilde izole edin. Enerjili açık uçlu kablo bırakmayın! </w:t>
      </w:r>
    </w:p>
    <w:p w:rsidR="00DB6842" w:rsidRDefault="00DB6842" w:rsidP="00DB6842">
      <w:r>
        <w:t>13. İş bitiminde Pano odası kapısını, pano kapaklarını kapalı ve kilitli olarak bırakın.</w:t>
      </w:r>
    </w:p>
    <w:p w:rsidR="00DB6842" w:rsidRDefault="00DB6842" w:rsidP="00DB6842"/>
    <w:p w:rsidR="00DB6842" w:rsidRDefault="00DB6842" w:rsidP="00DB6842"/>
    <w:p w:rsidR="00DB6842" w:rsidRDefault="00DB6842" w:rsidP="00DB6842"/>
    <w:p w:rsidR="00DB6842" w:rsidRDefault="00DB6842" w:rsidP="00DB6842"/>
    <w:p w:rsidR="00DB6842" w:rsidRDefault="00DB6842" w:rsidP="00DB6842"/>
    <w:p w:rsidR="00DB6842" w:rsidRDefault="00DB6842" w:rsidP="00DB6842">
      <w:r>
        <w:t xml:space="preserve">TEBELLÜĞ EDEN </w:t>
      </w:r>
      <w:r>
        <w:tab/>
      </w:r>
      <w:r>
        <w:tab/>
      </w:r>
      <w:r>
        <w:tab/>
      </w:r>
      <w:r>
        <w:tab/>
      </w:r>
      <w:r>
        <w:tab/>
      </w:r>
      <w:r>
        <w:tab/>
      </w:r>
      <w:r>
        <w:tab/>
        <w:t xml:space="preserve">TEBLİĞ EDEN </w:t>
      </w:r>
    </w:p>
    <w:p w:rsidR="00DB6842" w:rsidRDefault="00DB6842" w:rsidP="00DB6842">
      <w:r>
        <w:t xml:space="preserve">Adı Soyadı: </w:t>
      </w:r>
      <w:r>
        <w:tab/>
      </w:r>
      <w:r>
        <w:tab/>
      </w:r>
      <w:r>
        <w:tab/>
      </w:r>
      <w:r>
        <w:tab/>
      </w:r>
      <w:r>
        <w:tab/>
      </w:r>
      <w:r>
        <w:tab/>
      </w:r>
      <w:r>
        <w:tab/>
      </w:r>
      <w:r>
        <w:tab/>
        <w:t xml:space="preserve">Adı Soyadı: </w:t>
      </w:r>
    </w:p>
    <w:p w:rsidR="00DB6842" w:rsidRDefault="00DB6842" w:rsidP="00DB6842">
      <w:r>
        <w:t xml:space="preserve">İmza: </w:t>
      </w:r>
      <w:r>
        <w:tab/>
      </w:r>
      <w:r>
        <w:tab/>
      </w:r>
      <w:r>
        <w:tab/>
      </w:r>
      <w:r>
        <w:tab/>
      </w:r>
      <w:r>
        <w:tab/>
      </w:r>
      <w:r>
        <w:tab/>
      </w:r>
      <w:r>
        <w:tab/>
      </w:r>
      <w:r>
        <w:tab/>
        <w:t xml:space="preserve">   </w:t>
      </w:r>
      <w:r>
        <w:tab/>
        <w:t>İmza:</w:t>
      </w:r>
    </w:p>
    <w:p w:rsidR="00DB6842" w:rsidRDefault="00DB6842" w:rsidP="00DB6842">
      <w:r>
        <w:t xml:space="preserve">Tarih: </w:t>
      </w:r>
      <w:r>
        <w:tab/>
      </w:r>
      <w:r>
        <w:tab/>
      </w:r>
      <w:r>
        <w:tab/>
      </w:r>
      <w:r>
        <w:tab/>
      </w:r>
      <w:r>
        <w:tab/>
      </w:r>
      <w:r>
        <w:tab/>
      </w:r>
      <w:r>
        <w:tab/>
      </w:r>
      <w:r>
        <w:tab/>
      </w:r>
      <w:r>
        <w:tab/>
        <w:t>Tarih:</w:t>
      </w:r>
    </w:p>
    <w:p w:rsidR="00DB6842" w:rsidRDefault="00DB6842" w:rsidP="00DB6842"/>
    <w:p w:rsidR="00DB6842" w:rsidRDefault="00DB6842" w:rsidP="00DB6842"/>
    <w:p w:rsidR="00DB6842" w:rsidRDefault="00DB6842" w:rsidP="00DB6842"/>
    <w:p w:rsidR="0046190D" w:rsidRPr="00DB6842" w:rsidRDefault="0046190D" w:rsidP="00DB6842"/>
    <w:sectPr w:rsidR="0046190D" w:rsidRPr="00DB6842"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F3" w:rsidRDefault="00EA4CF3" w:rsidP="00625423">
      <w:pPr>
        <w:spacing w:after="0" w:line="240" w:lineRule="auto"/>
      </w:pPr>
      <w:r>
        <w:separator/>
      </w:r>
    </w:p>
  </w:endnote>
  <w:endnote w:type="continuationSeparator" w:id="0">
    <w:p w:rsidR="00EA4CF3" w:rsidRDefault="00EA4CF3" w:rsidP="0062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F2" w:rsidRDefault="006E68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Pr="006E68F2" w:rsidRDefault="006E68F2" w:rsidP="003A14EE">
    <w:pPr>
      <w:pStyle w:val="Altbilgi"/>
      <w:rPr>
        <w:b/>
        <w:sz w:val="18"/>
        <w:szCs w:val="18"/>
      </w:rPr>
    </w:pPr>
    <w:r w:rsidRPr="006E68F2">
      <w:rPr>
        <w:rFonts w:ascii="Times New Roman" w:hAnsi="Times New Roman"/>
        <w:b/>
        <w:sz w:val="18"/>
        <w:szCs w:val="18"/>
      </w:rPr>
      <w:t>KYT-TLM-051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F2" w:rsidRDefault="006E68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F3" w:rsidRDefault="00EA4CF3" w:rsidP="00625423">
      <w:pPr>
        <w:spacing w:after="0" w:line="240" w:lineRule="auto"/>
      </w:pPr>
      <w:r>
        <w:separator/>
      </w:r>
    </w:p>
  </w:footnote>
  <w:footnote w:type="continuationSeparator" w:id="0">
    <w:p w:rsidR="00EA4CF3" w:rsidRDefault="00EA4CF3" w:rsidP="0062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F2" w:rsidRDefault="006E68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5329A057" wp14:editId="7EF906E3">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328A3823" wp14:editId="7B987259">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cs="Times New Roman"/>
              <w:b/>
              <w:color w:val="1F497D" w:themeColor="text2"/>
              <w:sz w:val="24"/>
              <w:szCs w:val="20"/>
            </w:rPr>
          </w:pPr>
          <w:r w:rsidRPr="00625423">
            <w:rPr>
              <w:rFonts w:ascii="Arial Black" w:hAnsi="Arial Black" w:cs="Times New Roman"/>
              <w:b/>
              <w:color w:val="1F497D" w:themeColor="text2"/>
              <w:sz w:val="24"/>
              <w:szCs w:val="20"/>
            </w:rPr>
            <w:t>YOZGAT</w:t>
          </w:r>
        </w:p>
        <w:p w:rsidR="00625423" w:rsidRPr="00625423" w:rsidRDefault="00625423" w:rsidP="00AD3F21">
          <w:pPr>
            <w:pStyle w:val="stbilgi"/>
            <w:jc w:val="right"/>
            <w:rPr>
              <w:rFonts w:ascii="Arial Black" w:hAnsi="Arial Black" w:cs="Times New Roman"/>
              <w:b/>
              <w:color w:val="1F497D" w:themeColor="text2"/>
              <w:sz w:val="20"/>
              <w:szCs w:val="20"/>
            </w:rPr>
          </w:pPr>
          <w:r w:rsidRPr="00625423">
            <w:rPr>
              <w:rFonts w:ascii="Arial Black" w:hAnsi="Arial Black" w:cs="Times New Roman"/>
              <w:b/>
              <w:color w:val="1F497D" w:themeColor="text2"/>
              <w:sz w:val="24"/>
              <w:szCs w:val="20"/>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cs="Times New Roman"/>
              <w:b/>
              <w:color w:val="8DB3E2" w:themeColor="text2" w:themeTint="66"/>
              <w:sz w:val="20"/>
              <w:szCs w:val="20"/>
            </w:rPr>
          </w:pPr>
          <w:r>
            <w:rPr>
              <w:rFonts w:ascii="Arial Black" w:hAnsi="Arial Black"/>
              <w:color w:val="8DB3E2" w:themeColor="text2" w:themeTint="66"/>
              <w:sz w:val="20"/>
              <w:szCs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AD3F21">
          <w:pPr>
            <w:pStyle w:val="stbilgi"/>
            <w:jc w:val="center"/>
            <w:rPr>
              <w:rFonts w:ascii="Arial Black" w:hAnsi="Arial Black"/>
              <w:b/>
              <w:sz w:val="18"/>
              <w:szCs w:val="24"/>
            </w:rPr>
          </w:pPr>
          <w:r>
            <w:rPr>
              <w:rFonts w:ascii="Arial Black" w:hAnsi="Arial Black"/>
              <w:b/>
              <w:sz w:val="18"/>
              <w:szCs w:val="24"/>
            </w:rPr>
            <w:t>BİSAMER</w:t>
          </w:r>
          <w:r w:rsidR="006E68F2">
            <w:rPr>
              <w:rFonts w:ascii="Arial Black" w:hAnsi="Arial Black"/>
              <w:b/>
              <w:sz w:val="18"/>
              <w:szCs w:val="24"/>
            </w:rPr>
            <w:t xml:space="preserve"> 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6E68F2" w:rsidRDefault="006E68F2" w:rsidP="00AD3F21">
          <w:pPr>
            <w:pStyle w:val="stbilgi"/>
            <w:jc w:val="center"/>
            <w:rPr>
              <w:rFonts w:ascii="Arial Black" w:hAnsi="Arial Black"/>
              <w:b/>
              <w:sz w:val="18"/>
              <w:szCs w:val="24"/>
            </w:rPr>
          </w:pPr>
          <w:r w:rsidRPr="006E68F2">
            <w:rPr>
              <w:rFonts w:ascii="Arial Black" w:hAnsi="Arial Black"/>
              <w:b/>
              <w:sz w:val="16"/>
              <w:szCs w:val="16"/>
            </w:rPr>
            <w:t>KYT-TLM-051</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6E68F2"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837776" w:rsidP="00AD3F21">
          <w:pPr>
            <w:pStyle w:val="stbilgi"/>
            <w:jc w:val="center"/>
            <w:rPr>
              <w:rFonts w:ascii="Arial Black" w:hAnsi="Arial Black"/>
              <w:b/>
              <w:sz w:val="18"/>
              <w:szCs w:val="24"/>
            </w:rPr>
          </w:pPr>
          <w:r>
            <w:rPr>
              <w:rFonts w:ascii="Arial Black" w:hAnsi="Arial Black"/>
              <w:b/>
              <w:sz w:val="18"/>
              <w:szCs w:val="24"/>
            </w:rPr>
            <w:t>ELEKTRİK İŞLERİNDE</w:t>
          </w:r>
          <w:r w:rsidRPr="00837776">
            <w:rPr>
              <w:rFonts w:ascii="Arial Black" w:hAnsi="Arial Black"/>
              <w:b/>
              <w:sz w:val="18"/>
              <w:szCs w:val="24"/>
            </w:rPr>
            <w:t>, YÜKSEK GERİ</w:t>
          </w:r>
          <w:r>
            <w:rPr>
              <w:rFonts w:ascii="Arial Black" w:hAnsi="Arial Black"/>
              <w:b/>
              <w:sz w:val="18"/>
              <w:szCs w:val="24"/>
            </w:rPr>
            <w:t xml:space="preserve">LİMDE, ALÇAK GERİLİMDE ÇALIŞMA </w:t>
          </w:r>
          <w:r w:rsidRPr="00837776">
            <w:rPr>
              <w:rFonts w:ascii="Arial Black" w:hAnsi="Arial Black"/>
              <w:b/>
              <w:sz w:val="18"/>
              <w:szCs w:val="24"/>
            </w:rPr>
            <w:t>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6E68F2"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0F2451">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0F2451">
            <w:rPr>
              <w:rFonts w:ascii="Arial Black" w:hAnsi="Arial Black"/>
              <w:b/>
              <w:noProof/>
              <w:sz w:val="18"/>
              <w:szCs w:val="24"/>
            </w:rPr>
            <w:t>6</w:t>
          </w:r>
          <w:r w:rsidRPr="006401F2">
            <w:rPr>
              <w:rFonts w:ascii="Arial Black" w:hAnsi="Arial Black"/>
              <w:b/>
              <w:sz w:val="18"/>
              <w:szCs w:val="24"/>
            </w:rPr>
            <w:fldChar w:fldCharType="end"/>
          </w:r>
        </w:p>
      </w:tc>
    </w:tr>
  </w:tbl>
  <w:p w:rsidR="00625423" w:rsidRPr="003A14EE" w:rsidRDefault="003A14EE" w:rsidP="00625423">
    <w:pPr>
      <w:pStyle w:val="stbilgi"/>
      <w:rPr>
        <w:sz w:val="24"/>
        <w:szCs w:val="24"/>
      </w:rPr>
    </w:pPr>
    <w:r>
      <w:rPr>
        <w:noProof/>
        <w:lang w:eastAsia="tr-TR"/>
      </w:rPr>
      <mc:AlternateContent>
        <mc:Choice Requires="wps">
          <w:drawing>
            <wp:anchor distT="0" distB="0" distL="114300" distR="114300" simplePos="0" relativeHeight="251658240" behindDoc="0" locked="0" layoutInCell="1" allowOverlap="1" wp14:anchorId="18C12FEB" wp14:editId="465811C7">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22FB3" id="Düz Bağlayıcı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F2" w:rsidRDefault="006E68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28B"/>
    <w:multiLevelType w:val="hybridMultilevel"/>
    <w:tmpl w:val="803A9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344B88"/>
    <w:multiLevelType w:val="hybridMultilevel"/>
    <w:tmpl w:val="C452028A"/>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F16BF"/>
    <w:multiLevelType w:val="hybridMultilevel"/>
    <w:tmpl w:val="97E6CBD0"/>
    <w:lvl w:ilvl="0" w:tplc="041F0011">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7471EA"/>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138372D"/>
    <w:multiLevelType w:val="hybridMultilevel"/>
    <w:tmpl w:val="DDE07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7531A3"/>
    <w:multiLevelType w:val="hybridMultilevel"/>
    <w:tmpl w:val="C268AB28"/>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2D34C7"/>
    <w:multiLevelType w:val="hybridMultilevel"/>
    <w:tmpl w:val="C62647AE"/>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977DD8"/>
    <w:multiLevelType w:val="hybridMultilevel"/>
    <w:tmpl w:val="44DE8692"/>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591A50"/>
    <w:multiLevelType w:val="hybridMultilevel"/>
    <w:tmpl w:val="38D22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60787A"/>
    <w:multiLevelType w:val="multilevel"/>
    <w:tmpl w:val="D1566B16"/>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AB551E5"/>
    <w:multiLevelType w:val="hybridMultilevel"/>
    <w:tmpl w:val="0652D644"/>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1">
    <w:nsid w:val="1BA3718B"/>
    <w:multiLevelType w:val="hybridMultilevel"/>
    <w:tmpl w:val="4FC6D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514AFD"/>
    <w:multiLevelType w:val="hybridMultilevel"/>
    <w:tmpl w:val="9B7C605C"/>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2C0071"/>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A3F7F1E"/>
    <w:multiLevelType w:val="hybridMultilevel"/>
    <w:tmpl w:val="CFD0132C"/>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1F1BAC"/>
    <w:multiLevelType w:val="hybridMultilevel"/>
    <w:tmpl w:val="B77A3C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73D5850"/>
    <w:multiLevelType w:val="hybridMultilevel"/>
    <w:tmpl w:val="813EA3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B07AB8"/>
    <w:multiLevelType w:val="hybridMultilevel"/>
    <w:tmpl w:val="7E12EBE8"/>
    <w:lvl w:ilvl="0" w:tplc="452060B8">
      <w:start w:val="1"/>
      <w:numFmt w:val="decimal"/>
      <w:lvlText w:val="%1."/>
      <w:lvlJc w:val="left"/>
      <w:pPr>
        <w:ind w:left="720" w:hanging="360"/>
      </w:pPr>
      <w:rPr>
        <w:rFonts w:asciiTheme="minorHAnsi" w:hAnsiTheme="minorHAnsi"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9F0CBA"/>
    <w:multiLevelType w:val="hybridMultilevel"/>
    <w:tmpl w:val="8F401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3A490C"/>
    <w:multiLevelType w:val="multilevel"/>
    <w:tmpl w:val="4F886F06"/>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C6C298C"/>
    <w:multiLevelType w:val="hybridMultilevel"/>
    <w:tmpl w:val="C268AB28"/>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D5E71A6"/>
    <w:multiLevelType w:val="hybridMultilevel"/>
    <w:tmpl w:val="809A129C"/>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0C92CEC"/>
    <w:multiLevelType w:val="hybridMultilevel"/>
    <w:tmpl w:val="289676FA"/>
    <w:lvl w:ilvl="0" w:tplc="01AA1C32">
      <w:start w:val="1"/>
      <w:numFmt w:val="decimal"/>
      <w:lvlText w:val="%1."/>
      <w:lvlJc w:val="left"/>
      <w:pPr>
        <w:ind w:left="785"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572567B"/>
    <w:multiLevelType w:val="hybridMultilevel"/>
    <w:tmpl w:val="C9AA07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BCC130A"/>
    <w:multiLevelType w:val="multilevel"/>
    <w:tmpl w:val="AEAEC636"/>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D3810AF"/>
    <w:multiLevelType w:val="hybridMultilevel"/>
    <w:tmpl w:val="CE16E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87D42"/>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FA1608B"/>
    <w:multiLevelType w:val="multilevel"/>
    <w:tmpl w:val="177405BC"/>
    <w:lvl w:ilvl="0">
      <w:start w:val="4"/>
      <w:numFmt w:val="bullet"/>
      <w:lvlText w:val="-"/>
      <w:lvlJc w:val="left"/>
      <w:pPr>
        <w:tabs>
          <w:tab w:val="num" w:pos="720"/>
        </w:tabs>
        <w:ind w:left="720" w:hanging="360"/>
      </w:pPr>
      <w:rPr>
        <w:rFonts w:ascii="Times New Roman" w:hAnsi="Times New Roman" w:cs="Times New Roman" w:hint="default"/>
      </w:rPr>
    </w:lvl>
    <w:lvl w:ilvl="1">
      <w:start w:val="15"/>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5FAD2B5E"/>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64781EEB"/>
    <w:multiLevelType w:val="hybridMultilevel"/>
    <w:tmpl w:val="8814C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84F6380"/>
    <w:multiLevelType w:val="multilevel"/>
    <w:tmpl w:val="04C43D50"/>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8C060D6"/>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C4F4F5A"/>
    <w:multiLevelType w:val="hybridMultilevel"/>
    <w:tmpl w:val="0FFA6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EA75ACA"/>
    <w:multiLevelType w:val="multilevel"/>
    <w:tmpl w:val="AEAEC636"/>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0095ACC"/>
    <w:multiLevelType w:val="hybridMultilevel"/>
    <w:tmpl w:val="4150F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3670174"/>
    <w:multiLevelType w:val="hybridMultilevel"/>
    <w:tmpl w:val="C7824D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6F431C7"/>
    <w:multiLevelType w:val="hybridMultilevel"/>
    <w:tmpl w:val="3AF2D9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BA5354E"/>
    <w:multiLevelType w:val="multilevel"/>
    <w:tmpl w:val="7F0203AA"/>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C0B133F"/>
    <w:multiLevelType w:val="hybridMultilevel"/>
    <w:tmpl w:val="0846AC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D0C78D1"/>
    <w:multiLevelType w:val="hybridMultilevel"/>
    <w:tmpl w:val="DDE07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F035E74"/>
    <w:multiLevelType w:val="hybridMultilevel"/>
    <w:tmpl w:val="D368DF12"/>
    <w:lvl w:ilvl="0" w:tplc="452060B8">
      <w:start w:val="1"/>
      <w:numFmt w:val="decimal"/>
      <w:lvlText w:val="%1."/>
      <w:lvlJc w:val="left"/>
      <w:pPr>
        <w:ind w:left="720" w:hanging="360"/>
      </w:pPr>
      <w:rPr>
        <w:rFonts w:asciiTheme="minorHAnsi" w:hAnsiTheme="minorHAnsi"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F070E7B"/>
    <w:multiLevelType w:val="multilevel"/>
    <w:tmpl w:val="BBE6190A"/>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F595EA9"/>
    <w:multiLevelType w:val="hybridMultilevel"/>
    <w:tmpl w:val="983A6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0"/>
  </w:num>
  <w:num w:numId="3">
    <w:abstractNumId w:val="11"/>
  </w:num>
  <w:num w:numId="4">
    <w:abstractNumId w:val="42"/>
  </w:num>
  <w:num w:numId="5">
    <w:abstractNumId w:val="5"/>
  </w:num>
  <w:num w:numId="6">
    <w:abstractNumId w:val="20"/>
  </w:num>
  <w:num w:numId="7">
    <w:abstractNumId w:val="14"/>
  </w:num>
  <w:num w:numId="8">
    <w:abstractNumId w:val="1"/>
  </w:num>
  <w:num w:numId="9">
    <w:abstractNumId w:val="12"/>
  </w:num>
  <w:num w:numId="10">
    <w:abstractNumId w:val="6"/>
  </w:num>
  <w:num w:numId="11">
    <w:abstractNumId w:val="22"/>
  </w:num>
  <w:num w:numId="12">
    <w:abstractNumId w:val="7"/>
  </w:num>
  <w:num w:numId="13">
    <w:abstractNumId w:val="21"/>
  </w:num>
  <w:num w:numId="14">
    <w:abstractNumId w:val="41"/>
  </w:num>
  <w:num w:numId="15">
    <w:abstractNumId w:val="37"/>
  </w:num>
  <w:num w:numId="16">
    <w:abstractNumId w:val="30"/>
  </w:num>
  <w:num w:numId="17">
    <w:abstractNumId w:val="19"/>
  </w:num>
  <w:num w:numId="18">
    <w:abstractNumId w:val="27"/>
  </w:num>
  <w:num w:numId="19">
    <w:abstractNumId w:val="28"/>
  </w:num>
  <w:num w:numId="20">
    <w:abstractNumId w:val="40"/>
  </w:num>
  <w:num w:numId="21">
    <w:abstractNumId w:val="17"/>
  </w:num>
  <w:num w:numId="22">
    <w:abstractNumId w:val="2"/>
  </w:num>
  <w:num w:numId="23">
    <w:abstractNumId w:val="9"/>
  </w:num>
  <w:num w:numId="24">
    <w:abstractNumId w:val="10"/>
  </w:num>
  <w:num w:numId="25">
    <w:abstractNumId w:val="34"/>
  </w:num>
  <w:num w:numId="26">
    <w:abstractNumId w:val="3"/>
  </w:num>
  <w:num w:numId="27">
    <w:abstractNumId w:val="31"/>
  </w:num>
  <w:num w:numId="28">
    <w:abstractNumId w:val="13"/>
  </w:num>
  <w:num w:numId="29">
    <w:abstractNumId w:val="26"/>
  </w:num>
  <w:num w:numId="30">
    <w:abstractNumId w:val="32"/>
  </w:num>
  <w:num w:numId="31">
    <w:abstractNumId w:val="25"/>
  </w:num>
  <w:num w:numId="32">
    <w:abstractNumId w:val="36"/>
  </w:num>
  <w:num w:numId="33">
    <w:abstractNumId w:val="18"/>
  </w:num>
  <w:num w:numId="34">
    <w:abstractNumId w:val="39"/>
  </w:num>
  <w:num w:numId="35">
    <w:abstractNumId w:val="4"/>
  </w:num>
  <w:num w:numId="36">
    <w:abstractNumId w:val="15"/>
  </w:num>
  <w:num w:numId="37">
    <w:abstractNumId w:val="29"/>
  </w:num>
  <w:num w:numId="38">
    <w:abstractNumId w:val="23"/>
  </w:num>
  <w:num w:numId="39">
    <w:abstractNumId w:val="8"/>
  </w:num>
  <w:num w:numId="40">
    <w:abstractNumId w:val="16"/>
  </w:num>
  <w:num w:numId="41">
    <w:abstractNumId w:val="38"/>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E4C71"/>
    <w:rsid w:val="000F2451"/>
    <w:rsid w:val="003A14EE"/>
    <w:rsid w:val="00421201"/>
    <w:rsid w:val="0046190D"/>
    <w:rsid w:val="004D05ED"/>
    <w:rsid w:val="00625423"/>
    <w:rsid w:val="006401F2"/>
    <w:rsid w:val="0064475C"/>
    <w:rsid w:val="00692496"/>
    <w:rsid w:val="006C376D"/>
    <w:rsid w:val="006E68F2"/>
    <w:rsid w:val="007101D0"/>
    <w:rsid w:val="00750D8B"/>
    <w:rsid w:val="00837776"/>
    <w:rsid w:val="009114EC"/>
    <w:rsid w:val="00AD3F21"/>
    <w:rsid w:val="00AE3D59"/>
    <w:rsid w:val="00DB6842"/>
    <w:rsid w:val="00DC2EC2"/>
    <w:rsid w:val="00EA4CF3"/>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3AD058-4FE4-4D6C-A0B8-53B5B9E6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1F2"/>
  </w:style>
  <w:style w:type="paragraph" w:styleId="Balk1">
    <w:name w:val="heading 1"/>
    <w:basedOn w:val="Normal"/>
    <w:next w:val="Normal"/>
    <w:link w:val="Balk1Char"/>
    <w:uiPriority w:val="9"/>
    <w:qFormat/>
    <w:rsid w:val="006401F2"/>
    <w:pPr>
      <w:keepNext/>
      <w:keepLines/>
      <w:spacing w:before="480" w:after="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eastAsia="Times New Roman" w:hAnsi="Times New Roman" w:cs="Times New Roman"/>
      <w:color w:val="000000"/>
      <w:sz w:val="24"/>
      <w:szCs w:val="24"/>
      <w:lang w:eastAsia="tr-TR"/>
    </w:rPr>
  </w:style>
  <w:style w:type="paragraph" w:customStyle="1" w:styleId="western">
    <w:name w:val="western"/>
    <w:basedOn w:val="Normal"/>
    <w:rsid w:val="006401F2"/>
    <w:pPr>
      <w:spacing w:before="100" w:beforeAutospacing="1" w:after="142"/>
    </w:pPr>
    <w:rPr>
      <w:rFonts w:ascii="Times New Roman" w:eastAsia="Times New Roman" w:hAnsi="Times New Roman" w:cs="Times New Roman"/>
      <w:color w:val="000000"/>
      <w:sz w:val="24"/>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spacing w:after="0" w:line="240" w:lineRule="auto"/>
      <w:jc w:val="both"/>
    </w:pPr>
    <w:rPr>
      <w:rFonts w:ascii="Times New Roman" w:eastAsia="Times New Roman" w:hAnsi="Times New Roman" w:cs="Times New Roman"/>
      <w:sz w:val="24"/>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line="240" w:lineRule="auto"/>
      <w:ind w:left="283"/>
      <w:jc w:val="both"/>
    </w:pPr>
    <w:rPr>
      <w:rFonts w:ascii="Arial (WT)" w:eastAsia="Times New Roman" w:hAnsi="Arial (WT)" w:cs="Times New Roman"/>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line="240" w:lineRule="auto"/>
      <w:ind w:left="283"/>
      <w:jc w:val="both"/>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308E-08CA-4173-BB92-FF5E8BD7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1139</Words>
  <Characters>6496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5</cp:revision>
  <dcterms:created xsi:type="dcterms:W3CDTF">2025-05-13T08:28:00Z</dcterms:created>
  <dcterms:modified xsi:type="dcterms:W3CDTF">2025-06-27T07:46:00Z</dcterms:modified>
</cp:coreProperties>
</file>