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4143" w:rsidRDefault="00614143" w:rsidP="00614143">
      <w:r>
        <w:t>**LABORATORY SAFE WORKING INSTRUCTION**</w:t>
      </w:r>
    </w:p>
    <w:p w:rsidR="00614143" w:rsidRDefault="00614143" w:rsidP="00614143"/>
    <w:p w:rsidR="00614143" w:rsidRDefault="00614143" w:rsidP="00614143">
      <w:r>
        <w:t>Dear Students,</w:t>
      </w:r>
    </w:p>
    <w:p w:rsidR="00614143" w:rsidRDefault="00614143" w:rsidP="00614143">
      <w:r>
        <w:t>Ensuring safety in the laboratory is extremely important for your own safety, the safety of the people you work with, and environmental safety. Reviewing and following the warnings contained in this document before and after laboratory work will help protect laboratory safety and personal health from hazards. The chemicals used in laboratories can be highly hazardous and may pose a significant danger when mixed together. To prevent this, you must have sufficient information about the chemicals with which you will be working. This information is available in the Safety Data Sheets (SDS). In laboratory work, conducting analyses quickly and accurately while ensuring safety is essential. To achieve this, the warnings specified in this document must be observed, procedures must be well understood, and work must be carried out in a planned and organized manner.</w:t>
      </w:r>
    </w:p>
    <w:p w:rsidR="00614143" w:rsidRDefault="00614143" w:rsidP="00614143">
      <w:r>
        <w:t>**SECTION 1: GENERAL RULES TO BE FOLLOWED IN LABORATORIES**</w:t>
      </w:r>
    </w:p>
    <w:p w:rsidR="00614143" w:rsidRDefault="00614143" w:rsidP="00614143">
      <w:r>
        <w:t>1. Receive training on laboratory safety rules and general principles and acquire the necessary competence. Be familiar with emergency contact information, first aid procedures, and emergency exit locations.</w:t>
      </w:r>
    </w:p>
    <w:p w:rsidR="00614143" w:rsidRDefault="00614143" w:rsidP="00614143">
      <w:r>
        <w:t>2. Do not enter the laboratory without obtaining permission from the laboratory supervisor. Do not work alone in the laboratory.</w:t>
      </w:r>
    </w:p>
    <w:p w:rsidR="00614143" w:rsidRDefault="00614143" w:rsidP="00614143">
      <w:r>
        <w:t>3. Learn the location and contents of the first aid cabinet and how to operate the fire extinguisher.</w:t>
      </w:r>
    </w:p>
    <w:p w:rsidR="00614143" w:rsidRDefault="00614143" w:rsidP="00614143">
      <w:r>
        <w:t>4. Do not bring bags, coats, cardigans, jackets, or unnecessary materials into the laboratory. Always work in the laboratory wearing a long laboratory coat, with the front fully buttoned.</w:t>
      </w:r>
    </w:p>
    <w:p w:rsidR="00614143" w:rsidRDefault="00614143" w:rsidP="00614143">
      <w:r>
        <w:t>5. Wear gloves, protective goggles, and a mask while working in the laboratory. If you have long hair, tie it back securely or cover it with a flame-resistant cap. Remove jewelry and accessories.</w:t>
      </w:r>
    </w:p>
    <w:p w:rsidR="00614143" w:rsidRDefault="00614143" w:rsidP="00614143">
      <w:r>
        <w:t>6. Wear closed, comfortable, flat shoes and/or safety shoes in the laboratory. If you have cuts, wounds, or similar injuries on your hands while working in the laboratory, cover them with a waterproof bandage.</w:t>
      </w:r>
    </w:p>
    <w:p w:rsidR="00614143" w:rsidRDefault="00614143" w:rsidP="00614143">
      <w:r>
        <w:t>7. Do not consume food or beverages or keep food products in the laboratory.</w:t>
      </w:r>
    </w:p>
    <w:p w:rsidR="00614143" w:rsidRDefault="00614143" w:rsidP="00614143">
      <w:r>
        <w:t>8. Identify the laboratory supervisor.</w:t>
      </w:r>
    </w:p>
    <w:p w:rsidR="00614143" w:rsidRDefault="00614143" w:rsidP="00614143">
      <w:r>
        <w:lastRenderedPageBreak/>
        <w:t>9. Work carefully and diligently. Do not touch your face while working or put anything into your mouth. Remember that other people are also working in the laboratory and avoid making noise. Never engage in horseplay.</w:t>
      </w:r>
    </w:p>
    <w:p w:rsidR="00614143" w:rsidRDefault="00614143" w:rsidP="00614143">
      <w:r>
        <w:t>10. Time is very important in the laboratory. Planning the tasks to be performed in advance can save time. For example, certain tasks such as evaporating water require little attention, and another analysis can be performed during this period.</w:t>
      </w:r>
    </w:p>
    <w:p w:rsidR="00614143" w:rsidRDefault="00614143" w:rsidP="00614143">
      <w:r>
        <w:t>11. Before and after each use, clean the objective and eyepiece of the microscope carefully with lens paper or gauze without damaging the lenses.</w:t>
      </w:r>
    </w:p>
    <w:p w:rsidR="00614143" w:rsidRDefault="00614143" w:rsidP="00614143">
      <w:r>
        <w:t>12. Do not remove any substance and/or material from the laboratory without the permission of the laboratory supervisor. Report any problems occurring in the laboratory to the laboratory supervisor.</w:t>
      </w:r>
    </w:p>
    <w:p w:rsidR="00614143" w:rsidRDefault="00614143" w:rsidP="00614143">
      <w:r>
        <w:t>13. After use, switch off, clean, and return each item, instrument, or device to its proper place in accordance with the relevant procedure.</w:t>
      </w:r>
    </w:p>
    <w:p w:rsidR="00614143" w:rsidRDefault="00614143" w:rsidP="00614143">
      <w:r>
        <w:t>14. Dispose of solid waste in the appropriate waste bin. Do not leave waste bins open. Remove liquid waste from the working area in accordance with the applicable procedures and legislation. After completing the work, wash your hands with soap and, when necessary, with an antiseptic solution.</w:t>
      </w:r>
    </w:p>
    <w:p w:rsidR="00614143" w:rsidRDefault="00614143" w:rsidP="00614143">
      <w:r>
        <w:t>**SECTION 2: GENERAL RULES TO BE FOLLOWED WHEN WORKING WITH CHEMICALS**</w:t>
      </w:r>
    </w:p>
    <w:p w:rsidR="00614143" w:rsidRDefault="00614143" w:rsidP="00614143">
      <w:r>
        <w:t>15. All chemicals present in the laboratory are potentially hazardous. Therefore, never touch chemicals with bare hands, taste them, or smell them. Always use a clean spoon to take substances from containers containing solids. Do not use the same spoon to take another substance without cleaning it first.</w:t>
      </w:r>
    </w:p>
    <w:p w:rsidR="00614143" w:rsidRDefault="00614143" w:rsidP="00614143">
      <w:r>
        <w:t>16. Never place bottle caps with their inner surfaces touching the laboratory bench. Otherwise, the cap may become contaminated with foreign substances, and when it is replaced on the bottle, these substances may come into contact with the pure substance or solution inside and contaminate or alter it.</w:t>
      </w:r>
    </w:p>
    <w:p w:rsidR="00614143" w:rsidRDefault="00614143" w:rsidP="00614143">
      <w:r>
        <w:t>17. Do not interchange bottle caps or stoppers. When filling solutions into bottles, leave approximately one-quarter of the bottle empty to allow for expansion.</w:t>
      </w:r>
    </w:p>
    <w:p w:rsidR="00614143" w:rsidRDefault="00614143" w:rsidP="00614143">
      <w:r>
        <w:t>18. Do not mix chemicals randomly. Some chemicals react with one another and may cause fires, violent explosions, or the formation of toxic products. Such substances are referred to as incompatible chemicals. Always store them separately.</w:t>
      </w:r>
    </w:p>
    <w:p w:rsidR="00614143" w:rsidRDefault="00614143" w:rsidP="00614143"/>
    <w:p w:rsidR="00614143" w:rsidRDefault="00614143" w:rsidP="00614143">
      <w:r>
        <w:t>19. Store chemicals according to their hazard groups and storage requirements in separate rooms, cabinets, or storage areas equipped with ventilation systems. After completing your work in areas where chemicals are stored, lock the area and give the key to the laboratory supervisor.</w:t>
      </w:r>
    </w:p>
    <w:p w:rsidR="00614143" w:rsidRDefault="00614143" w:rsidP="00614143">
      <w:r>
        <w:t>20. Do not store chemicals on the floor or on top of cabinets. When preparing solutions, comply with the safety precautions specified in the Safety Data Sheets (SDS) of the chemicals.</w:t>
      </w:r>
    </w:p>
    <w:p w:rsidR="00614143" w:rsidRDefault="00614143" w:rsidP="00614143">
      <w:r>
        <w:t>21. Prepare solutions in quantities appropriate to the need. Do not pour organic solvents or volatile liquids down the sink.</w:t>
      </w:r>
    </w:p>
    <w:p w:rsidR="00614143" w:rsidRDefault="00614143" w:rsidP="00614143">
      <w:r>
        <w:t>22. Do not write weighing or titration results on small pieces of paper.</w:t>
      </w:r>
    </w:p>
    <w:p w:rsidR="00614143" w:rsidRDefault="00614143" w:rsidP="00614143">
      <w:r>
        <w:t xml:space="preserve">23. Keep a dedicated laboratory </w:t>
      </w:r>
      <w:proofErr w:type="gramStart"/>
      <w:r>
        <w:t>notebook</w:t>
      </w:r>
      <w:proofErr w:type="gramEnd"/>
      <w:r>
        <w:t xml:space="preserve"> for laboratory work. Record all work performed and observations in this </w:t>
      </w:r>
      <w:proofErr w:type="gramStart"/>
      <w:r>
        <w:t>notebook</w:t>
      </w:r>
      <w:proofErr w:type="gramEnd"/>
      <w:r>
        <w:t>.</w:t>
      </w:r>
    </w:p>
    <w:p w:rsidR="00614143" w:rsidRDefault="00614143" w:rsidP="00614143">
      <w:r>
        <w:t>24. When cutting glass or inserting glass into stoppers, use special gloves or cloth to prevent cuts to your hands. Do not insert rubber stoppers onto sharp-ended or broken glass tubes or glass tubing.</w:t>
      </w:r>
    </w:p>
    <w:p w:rsidR="00614143" w:rsidRDefault="00614143" w:rsidP="00614143">
      <w:r>
        <w:t>25. When heating a liquid contained in a test tube, heat the tube gradually from the upper part downward and continuously shake the tube very gently. Do not point the mouth of the test tube toward yourself or anyone working beside you, and never lean over it and look directly into it from above.</w:t>
      </w:r>
    </w:p>
    <w:p w:rsidR="00614143" w:rsidRDefault="00614143" w:rsidP="00614143">
      <w:r>
        <w:t>26. When transferring liquids from bottles, hold the bottle with the label facing upward. Otherwise, drops flowing from the bottle opening may damage the label and the writing on it. The most appropriate method is to wipe the last drops remaining at the mouth of the bottle with the bottle's own cap.</w:t>
      </w:r>
    </w:p>
    <w:p w:rsidR="00614143" w:rsidRDefault="00614143" w:rsidP="00614143">
      <w:r>
        <w:t>27. Do not store samples in uncovered and unstable containers such as beakers or volumetric flasks. Never heat substances in containers that are closed with caps or stoppers, and do not heat or boil substances in containers that do not bear a heat-resistant symbol.</w:t>
      </w:r>
    </w:p>
    <w:p w:rsidR="00614143" w:rsidRDefault="00614143" w:rsidP="00614143">
      <w:r>
        <w:t>28. Label bottles containing solutions to prevent mistakes. Use labels and markers suitable for the intended purpose.</w:t>
      </w:r>
    </w:p>
    <w:p w:rsidR="00614143" w:rsidRDefault="00614143" w:rsidP="00614143">
      <w:r>
        <w:t>29. Do not use highly volatile substances such as gasoline, ether, and carbon disulfide in a laboratory where there is an open flame, regardless of how far away the substances are from the flame. (Ether vapors can ignite from a flame 5 meters or even farther away, and the burning vapors can carry the fire.)</w:t>
      </w:r>
    </w:p>
    <w:p w:rsidR="00614143" w:rsidRDefault="00614143" w:rsidP="00614143"/>
    <w:p w:rsidR="00614143" w:rsidRDefault="00614143" w:rsidP="00614143">
      <w:r>
        <w:t>30. Do not place flammable liquids around hot surfaces that may cause ignition, and under no circumstances touch such surfaces directly with your hands.</w:t>
      </w:r>
    </w:p>
    <w:p w:rsidR="00614143" w:rsidRDefault="00614143" w:rsidP="00614143">
      <w:r>
        <w:t>31. Work with organic, toxic, and corrosive chemicals in a fume hood. When diluting acids and alkalis, always slowly add the acid or alkali to the water; never do the reverse.</w:t>
      </w:r>
    </w:p>
    <w:p w:rsidR="00614143" w:rsidRDefault="00614143" w:rsidP="00614143">
      <w:r>
        <w:t>32. If mercury is spilled in any way, collect it using a vacuum source or foam-type synthetic sponges. If the amount is too small to be collected, sprinkle powdered sulfur over it to convert it into sulfide and remove it in this form. If formaldehyde compounds are spilled, small quantities (&lt;100 mL) shall be absorbed with paper towels. The paper towels shall be placed in plastic bags labeled as waste. The contaminated area shall be washed 2–3 times with soapy water and dried with paper towels. These paper towels shall be disposed of appropriately in hazardous waste bags. For larger formalin spills, a commercially available “formalin spill kit” shall be used for cleaning.</w:t>
      </w:r>
    </w:p>
    <w:p w:rsidR="00614143" w:rsidRDefault="00614143" w:rsidP="00614143">
      <w:r>
        <w:t>33. Never dispose of the mercury-containing parts of broken thermometers or mercury residues in the trash or down the sink, and do not bury them in the soil.</w:t>
      </w:r>
    </w:p>
    <w:p w:rsidR="00614143" w:rsidRDefault="00614143" w:rsidP="00614143">
      <w:r>
        <w:t>34. If a chemical and/or sample is spilled in the laboratory, clean it immediately and, when necessary, report the situation to the laboratory supervisor.</w:t>
      </w:r>
    </w:p>
    <w:p w:rsidR="00614143" w:rsidRDefault="00614143" w:rsidP="00614143">
      <w:r>
        <w:t>35. Use both hands when carrying chemicals. Hold the bottle firmly by the cap with one hand and support the bottom of the bottle with the other hand.</w:t>
      </w:r>
    </w:p>
    <w:p w:rsidR="00614143" w:rsidRDefault="00614143" w:rsidP="00614143">
      <w:r>
        <w:t>36. If corrosive or caustic substances such as acids or bases drip or splash onto the skin, immediately wash the affected area with plenty of water.</w:t>
      </w:r>
    </w:p>
    <w:p w:rsidR="00614143" w:rsidRDefault="00614143" w:rsidP="00614143">
      <w:r>
        <w:t>**SECTION 3: GENERAL RULES TO BE FOLLOWED WHEN WORKING WITH ELECTRICAL EQUIPMENT**</w:t>
      </w:r>
    </w:p>
    <w:p w:rsidR="00614143" w:rsidRDefault="00614143" w:rsidP="00614143">
      <w:r>
        <w:t>37. When working with electricity, hands, electrical switches, and outlets must be dry. Unless otherwise required, before starting work, make sure that the power switch of electrical equipment is turned off and that the plug is not connected to the outlet.</w:t>
      </w:r>
    </w:p>
    <w:p w:rsidR="00614143" w:rsidRDefault="00614143" w:rsidP="00614143">
      <w:r>
        <w:t>38. Do not unplug electrical plugs by pulling on the cord. Do not operate electrical equipment in damp areas.</w:t>
      </w:r>
    </w:p>
    <w:p w:rsidR="00614143" w:rsidRDefault="00614143" w:rsidP="00614143">
      <w:r>
        <w:t>39. Never keep containers of liquids in areas where electrical systems are located. If a circuit component burns, do not inhale the resulting smoke. Remember that circuit components may contain toxic materials.</w:t>
      </w:r>
    </w:p>
    <w:p w:rsidR="00614143" w:rsidRDefault="00614143" w:rsidP="00614143"/>
    <w:p w:rsidR="00614143" w:rsidRDefault="00614143" w:rsidP="00614143">
      <w:r>
        <w:t>40. If equipment malfunctions while operating, immediately notify the laboratory supervisor or instructor. Never attempt to resolve the problem yourself in order to avoid injury.</w:t>
      </w:r>
    </w:p>
    <w:p w:rsidR="00614143" w:rsidRDefault="00614143" w:rsidP="00614143">
      <w:r>
        <w:t>41. Obtain permission before operating high-voltage equipment. Do not open electrical panels without authorization.</w:t>
      </w:r>
    </w:p>
    <w:p w:rsidR="00614143" w:rsidRDefault="00614143" w:rsidP="00614143">
      <w:r>
        <w:t>42. Contact an electrical technician or the building administrative officer for cable installation or other electrical modifications.</w:t>
      </w:r>
    </w:p>
    <w:p w:rsidR="00614143" w:rsidRDefault="00614143" w:rsidP="00614143">
      <w:r>
        <w:t>43. Avoid using extension cords. If their use is absolutely necessary, connect extension cords to grounded and fused outlets. Do not route extension cords under doors or through windows, hang them from the ceiling, or connect them to other extension cords.</w:t>
      </w:r>
    </w:p>
    <w:p w:rsidR="00614143" w:rsidRDefault="00614143" w:rsidP="00614143">
      <w:r>
        <w:t>44. Do not make any modifications to high-voltage equipment.</w:t>
      </w:r>
    </w:p>
    <w:p w:rsidR="00614143" w:rsidRDefault="00614143" w:rsidP="00614143">
      <w:r>
        <w:t>45. When adjusting high-voltage equipment, use only one hand. Keep the other hand in your pocket or behind your back. This procedure helps prevent high voltage from passing from one arm through the body and into the other arm.</w:t>
      </w:r>
    </w:p>
    <w:p w:rsidR="00614143" w:rsidRDefault="00614143" w:rsidP="00614143">
      <w:r>
        <w:t>46. Make sure that electrical equipment is properly grounded. Do not permit the use of equipment in which two terminals have been bridged in place of a three-prong plug.</w:t>
      </w:r>
    </w:p>
    <w:p w:rsidR="00614143" w:rsidRDefault="00614143" w:rsidP="00614143">
      <w:r>
        <w:t>**SECTION 4: FIRST AID**</w:t>
      </w:r>
    </w:p>
    <w:p w:rsidR="00614143" w:rsidRDefault="00614143" w:rsidP="00614143">
      <w:r>
        <w:t xml:space="preserve">47. **Cuts or Bleeding:** Clean the wound and the surrounding area and cover it with </w:t>
      </w:r>
      <w:proofErr w:type="gramStart"/>
      <w:r>
        <w:t>sterile</w:t>
      </w:r>
      <w:proofErr w:type="gramEnd"/>
      <w:r>
        <w:t xml:space="preserve"> gauze. Depending on the severity of the bleeding, apply pressure using a loose or firm dressing.</w:t>
      </w:r>
    </w:p>
    <w:p w:rsidR="00614143" w:rsidRDefault="00614143" w:rsidP="00614143">
      <w:r>
        <w:t>48. **Burns:** Prevent the casualty from going into shock and prevent infection. In the case of an active flame burn, the first step is to prevent the burned area from coming into contact with air. If this cannot be achieved, water should be poured over the burned area. In the case of chemical burns caused by substances such as acids, wash the affected area with plenty of water. If the burn is beneath clothing, do not attempt to remove the clothing. Never touch the burn directly with your hands.</w:t>
      </w:r>
    </w:p>
    <w:p w:rsidR="00614143" w:rsidRDefault="00614143" w:rsidP="00614143">
      <w:r>
        <w:t xml:space="preserve">49. **Fractures:** If the fracture is beneath clothing, cut the clothing away rather than pulling it off. If there is a wound, clean it; if there is bleeding, stop it and apply a dressing. Immobilize the fracture from both sides using </w:t>
      </w:r>
      <w:r>
        <w:lastRenderedPageBreak/>
        <w:t>rigid materials and secure it so that it cannot move. Different procedures are required for fractures occurring in different parts of the body.</w:t>
      </w:r>
    </w:p>
    <w:p w:rsidR="00614143" w:rsidRDefault="00614143" w:rsidP="00614143">
      <w:r>
        <w:t xml:space="preserve">50. **Suffocation:** Suffocation may occur due to chemicals used in the laboratory or as a result of electric shock, when the mouth closes and an adequate amount of oxygen cannot be obtained. Prevent the tongue of an unconscious casualty from falling backward; if necessary, this may be </w:t>
      </w:r>
      <w:proofErr w:type="gramStart"/>
      <w:r>
        <w:t>done</w:t>
      </w:r>
      <w:proofErr w:type="gramEnd"/>
      <w:r>
        <w:t xml:space="preserve"> using forceps. Artificial respiration should be started immediately. One method of **Mouth-to-Mouth Artificial Respiration** is as follows: Lay the patient on their side. Remove any chewing gum or similar substances from the mouth. Clean the area around the mouth. Raise the feet slightly and keep the head tilted backward. Pull the lower jaw downward. Cover the mouth with a handkerchief or thin cloth. In cases of electric shock, the mouth may be locked. In this case, respiration should be performed through the nose instead of the mouth. Close the nostrils with two fingers (mouth in the case of electric shock). This prevents air from escaping through the nostrils.</w:t>
      </w:r>
    </w:p>
    <w:p w:rsidR="00614143" w:rsidRDefault="00614143" w:rsidP="00614143">
      <w:r>
        <w:t>**SKIN BURNS**</w:t>
      </w:r>
    </w:p>
    <w:p w:rsidR="00614143" w:rsidRDefault="00614143" w:rsidP="00614143">
      <w:r>
        <w:t>51. Unbutton clothing and immediately remove clothing and shoes contaminated with chemicals; wash the skin with plenty of water for at least 15 minutes.</w:t>
      </w:r>
    </w:p>
    <w:p w:rsidR="00614143" w:rsidRDefault="00614143" w:rsidP="00614143">
      <w:r>
        <w:t>52. Do not apply ointment, spray, or similar substances to the wound.</w:t>
      </w:r>
    </w:p>
    <w:p w:rsidR="00614143" w:rsidRDefault="00614143" w:rsidP="00614143">
      <w:r>
        <w:t xml:space="preserve">53. Cover the burn with a </w:t>
      </w:r>
      <w:proofErr w:type="gramStart"/>
      <w:r>
        <w:t>sterile</w:t>
      </w:r>
      <w:proofErr w:type="gramEnd"/>
      <w:r>
        <w:t xml:space="preserve"> bandage without applying excessive pressure. If a </w:t>
      </w:r>
      <w:proofErr w:type="gramStart"/>
      <w:r>
        <w:t>sterile</w:t>
      </w:r>
      <w:proofErr w:type="gramEnd"/>
      <w:r>
        <w:t xml:space="preserve"> bandage is unavailable, use a clean cloth.</w:t>
      </w:r>
    </w:p>
    <w:p w:rsidR="00614143" w:rsidRDefault="00614143" w:rsidP="00614143">
      <w:r>
        <w:t>54. If the burn is extensive, call for emergency assistance.</w:t>
      </w:r>
    </w:p>
    <w:p w:rsidR="00614143" w:rsidRDefault="00614143" w:rsidP="00614143">
      <w:r>
        <w:t>**EYE IRRITATION**</w:t>
      </w:r>
    </w:p>
    <w:p w:rsidR="00614143" w:rsidRDefault="00614143" w:rsidP="00614143">
      <w:r>
        <w:t>56. Immediately protect the unaffected eye; hold the affected eyelid open and flush the eye with water or an eye-washing solution for at least 15 minutes.</w:t>
      </w:r>
    </w:p>
    <w:p w:rsidR="00614143" w:rsidRDefault="00614143" w:rsidP="00614143">
      <w:r>
        <w:t>57. Ensure that the washing is carried out from the level above the nose toward the ears to prevent the other eye from being affected and to prevent the chemical from flowing back into the eye.</w:t>
      </w:r>
    </w:p>
    <w:p w:rsidR="00614143" w:rsidRDefault="00614143" w:rsidP="00614143">
      <w:r>
        <w:t>58. If contact lenses are present, remove them immediately to ensure effective rinsing.</w:t>
      </w:r>
    </w:p>
    <w:p w:rsidR="00614143" w:rsidRDefault="00614143" w:rsidP="00614143">
      <w:r>
        <w:t xml:space="preserve">59. Cover both eyes with </w:t>
      </w:r>
      <w:proofErr w:type="gramStart"/>
      <w:r>
        <w:t>sterile</w:t>
      </w:r>
      <w:proofErr w:type="gramEnd"/>
      <w:r>
        <w:t xml:space="preserve"> or clean wound dressings.</w:t>
      </w:r>
    </w:p>
    <w:p w:rsidR="00614143" w:rsidRDefault="00614143" w:rsidP="00614143">
      <w:r>
        <w:t>60. Contact a healthcare facility.</w:t>
      </w:r>
    </w:p>
    <w:p w:rsidR="00614143" w:rsidRDefault="00614143" w:rsidP="00614143">
      <w:r>
        <w:lastRenderedPageBreak/>
        <w:t>**CHEMICAL INGESTION**</w:t>
      </w:r>
    </w:p>
    <w:p w:rsidR="00614143" w:rsidRDefault="00614143" w:rsidP="00614143">
      <w:r>
        <w:t>62. If the person is conscious and able to swallow, give them water or milk. If they have a tendency to vomit, do not continue giving liquids.</w:t>
      </w:r>
    </w:p>
    <w:p w:rsidR="00614143" w:rsidRDefault="00614143" w:rsidP="00614143">
      <w:r>
        <w:t>63. If the person is unconscious, the casualty's head and body must be turned toward the left side.</w:t>
      </w:r>
    </w:p>
    <w:p w:rsidR="00614143" w:rsidRDefault="00614143" w:rsidP="00614143">
      <w:r>
        <w:t>64. The person exposed to the accident must be taken to the nearest healthcare facility immediately.</w:t>
      </w:r>
    </w:p>
    <w:p w:rsidR="00614143" w:rsidRDefault="00614143" w:rsidP="00614143">
      <w:r>
        <w:t>**INHALATION OF CHEMICALS**</w:t>
      </w:r>
    </w:p>
    <w:p w:rsidR="00614143" w:rsidRDefault="00614143" w:rsidP="00614143">
      <w:r>
        <w:t>66. Evacuate the area and ensure that the injured person gets fresh air.</w:t>
      </w:r>
    </w:p>
    <w:p w:rsidR="0027319C" w:rsidRPr="00614143" w:rsidRDefault="00614143" w:rsidP="00614143">
      <w:bookmarkStart w:id="0" w:name="_GoBack"/>
      <w:bookmarkEnd w:id="0"/>
      <w:r>
        <w:t>67. Contact a healthcare facility.</w:t>
      </w:r>
    </w:p>
    <w:sectPr w:rsidR="0027319C" w:rsidRPr="00614143" w:rsidSect="00625423">
      <w:headerReference w:type="default" r:id="rId7"/>
      <w:footerReference w:type="default" r:id="rId8"/>
      <w:pgSz w:w="11906" w:h="16838"/>
      <w:pgMar w:top="851" w:right="851"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27EF" w:rsidRDefault="007A27EF" w:rsidP="00625423">
      <w:pPr>
        <w:spacing w:after="0" w:line="240" w:lineRule="auto"/>
      </w:pPr>
      <w:r>
        <w:separator/>
      </w:r>
    </w:p>
  </w:endnote>
  <w:endnote w:type="continuationSeparator" w:id="0">
    <w:p w:rsidR="007A27EF" w:rsidRDefault="007A27EF" w:rsidP="00625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Black">
    <w:panose1 w:val="020B0A04020102020204"/>
    <w:charset w:val="A2"/>
    <w:family w:val="swiss"/>
    <w:pitch w:val="variable"/>
    <w:sig w:usb0="A00002AF" w:usb1="400078FB"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3400"/>
      <w:gridCol w:w="3394"/>
      <w:gridCol w:w="3400"/>
    </w:tblGrid>
    <w:tr w:rsidR="00614143" w:rsidRPr="003A14EE" w:rsidTr="00614143">
      <w:tc>
        <w:tcPr>
          <w:tcW w:w="3400" w:type="dxa"/>
        </w:tcPr>
        <w:p w:rsidR="00614143" w:rsidRPr="003A14EE" w:rsidRDefault="00614143" w:rsidP="00614143">
          <w:pPr>
            <w:pStyle w:val="Altbilgi"/>
            <w:jc w:val="center"/>
            <w:rPr>
              <w:rFonts w:ascii="Arial Black" w:hAnsi="Arial Black"/>
              <w:sz w:val="18"/>
            </w:rPr>
          </w:pPr>
          <w:r w:rsidRPr="00957666">
            <w:rPr>
              <w:rFonts w:ascii="Arial Black" w:hAnsi="Arial Black"/>
              <w:sz w:val="18"/>
            </w:rPr>
            <w:t>Prepared by</w:t>
          </w:r>
        </w:p>
      </w:tc>
      <w:tc>
        <w:tcPr>
          <w:tcW w:w="3394" w:type="dxa"/>
        </w:tcPr>
        <w:p w:rsidR="00614143" w:rsidRPr="003A14EE" w:rsidRDefault="00614143" w:rsidP="00614143">
          <w:pPr>
            <w:pStyle w:val="Altbilgi"/>
            <w:jc w:val="center"/>
            <w:rPr>
              <w:rFonts w:ascii="Arial Black" w:hAnsi="Arial Black"/>
              <w:sz w:val="18"/>
            </w:rPr>
          </w:pPr>
          <w:r w:rsidRPr="00957666">
            <w:rPr>
              <w:rFonts w:ascii="Arial Black" w:hAnsi="Arial Black"/>
              <w:sz w:val="18"/>
            </w:rPr>
            <w:t>Checked by</w:t>
          </w:r>
        </w:p>
      </w:tc>
      <w:tc>
        <w:tcPr>
          <w:tcW w:w="3400" w:type="dxa"/>
        </w:tcPr>
        <w:p w:rsidR="00614143" w:rsidRPr="003A14EE" w:rsidRDefault="00614143" w:rsidP="00614143">
          <w:pPr>
            <w:pStyle w:val="Altbilgi"/>
            <w:jc w:val="center"/>
            <w:rPr>
              <w:rFonts w:ascii="Arial Black" w:hAnsi="Arial Black"/>
              <w:sz w:val="18"/>
            </w:rPr>
          </w:pPr>
          <w:r w:rsidRPr="00957666">
            <w:rPr>
              <w:rFonts w:ascii="Arial Black" w:hAnsi="Arial Black"/>
              <w:sz w:val="18"/>
            </w:rPr>
            <w:t>Approved by</w:t>
          </w:r>
        </w:p>
      </w:tc>
    </w:tr>
    <w:tr w:rsidR="003A14EE" w:rsidRPr="003A14EE" w:rsidTr="00614143">
      <w:tc>
        <w:tcPr>
          <w:tcW w:w="3400" w:type="dxa"/>
        </w:tcPr>
        <w:p w:rsidR="003A14EE" w:rsidRPr="003A14EE" w:rsidRDefault="003A14EE" w:rsidP="003A14EE">
          <w:pPr>
            <w:pStyle w:val="Altbilgi"/>
            <w:jc w:val="center"/>
            <w:rPr>
              <w:rFonts w:ascii="Arial Black" w:hAnsi="Arial Black"/>
              <w:sz w:val="18"/>
            </w:rPr>
          </w:pPr>
        </w:p>
      </w:tc>
      <w:tc>
        <w:tcPr>
          <w:tcW w:w="3394" w:type="dxa"/>
        </w:tcPr>
        <w:p w:rsidR="003A14EE" w:rsidRPr="003A14EE" w:rsidRDefault="003A14EE" w:rsidP="003A14EE">
          <w:pPr>
            <w:pStyle w:val="Altbilgi"/>
            <w:jc w:val="center"/>
            <w:rPr>
              <w:rFonts w:ascii="Arial Black" w:hAnsi="Arial Black"/>
              <w:sz w:val="18"/>
            </w:rPr>
          </w:pPr>
        </w:p>
      </w:tc>
      <w:tc>
        <w:tcPr>
          <w:tcW w:w="3400" w:type="dxa"/>
        </w:tcPr>
        <w:p w:rsidR="003A14EE" w:rsidRPr="003A14EE" w:rsidRDefault="003A14EE" w:rsidP="003A14EE">
          <w:pPr>
            <w:pStyle w:val="Altbilgi"/>
            <w:jc w:val="center"/>
            <w:rPr>
              <w:rFonts w:ascii="Arial Black" w:hAnsi="Arial Black"/>
              <w:sz w:val="18"/>
            </w:rPr>
          </w:pPr>
        </w:p>
      </w:tc>
    </w:tr>
  </w:tbl>
  <w:p w:rsidR="003A14EE" w:rsidRDefault="005F6AB2" w:rsidP="003A14EE">
    <w:pPr>
      <w:pStyle w:val="Altbilgi"/>
    </w:pPr>
    <w:r>
      <w:t>KYT-TLM-068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27EF" w:rsidRDefault="007A27EF" w:rsidP="00625423">
      <w:pPr>
        <w:spacing w:after="0" w:line="240" w:lineRule="auto"/>
      </w:pPr>
      <w:r>
        <w:separator/>
      </w:r>
    </w:p>
  </w:footnote>
  <w:footnote w:type="continuationSeparator" w:id="0">
    <w:p w:rsidR="007A27EF" w:rsidRDefault="007A27EF" w:rsidP="006254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10740" w:type="dxa"/>
      <w:tblBorders>
        <w:top w:val="none" w:sz="0" w:space="0" w:color="auto"/>
        <w:left w:val="none" w:sz="0" w:space="0" w:color="auto"/>
        <w:bottom w:val="single" w:sz="12" w:space="0" w:color="1F497D" w:themeColor="text2"/>
        <w:right w:val="none" w:sz="0" w:space="0" w:color="auto"/>
        <w:insideH w:val="none" w:sz="0" w:space="0" w:color="auto"/>
        <w:insideV w:val="none" w:sz="0" w:space="0" w:color="auto"/>
      </w:tblBorders>
      <w:tblLook w:val="04A0" w:firstRow="1" w:lastRow="0" w:firstColumn="1" w:lastColumn="0" w:noHBand="0" w:noVBand="1"/>
    </w:tblPr>
    <w:tblGrid>
      <w:gridCol w:w="2660"/>
      <w:gridCol w:w="2126"/>
      <w:gridCol w:w="5245"/>
      <w:gridCol w:w="709"/>
    </w:tblGrid>
    <w:tr w:rsidR="00625423" w:rsidTr="00AD3F21">
      <w:trPr>
        <w:trHeight w:val="705"/>
      </w:trPr>
      <w:tc>
        <w:tcPr>
          <w:tcW w:w="2660" w:type="dxa"/>
          <w:vMerge w:val="restart"/>
          <w:vAlign w:val="center"/>
        </w:tcPr>
        <w:p w:rsidR="00625423" w:rsidRDefault="00625423" w:rsidP="00625423">
          <w:pPr>
            <w:pStyle w:val="stbilgi"/>
          </w:pPr>
          <w:r>
            <w:rPr>
              <w:noProof/>
              <w:lang w:eastAsia="tr-TR"/>
            </w:rPr>
            <w:drawing>
              <wp:inline distT="0" distB="0" distL="0" distR="0" wp14:anchorId="044F52B0" wp14:editId="7223E175">
                <wp:extent cx="720000" cy="720000"/>
                <wp:effectExtent l="0" t="0" r="4445" b="4445"/>
                <wp:docPr id="1" name="Resim 1" descr="C:\Users\Fujitsu\Desktop\zw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zwe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2126" w:type="dxa"/>
          <w:vMerge w:val="restart"/>
          <w:vAlign w:val="center"/>
        </w:tcPr>
        <w:p w:rsidR="00625423" w:rsidRDefault="00625423" w:rsidP="00625423">
          <w:pPr>
            <w:pStyle w:val="stbilgi"/>
            <w:jc w:val="center"/>
          </w:pPr>
          <w:r>
            <w:rPr>
              <w:noProof/>
              <w:lang w:eastAsia="tr-TR"/>
            </w:rPr>
            <w:drawing>
              <wp:inline distT="0" distB="0" distL="0" distR="0" wp14:anchorId="658D3632" wp14:editId="7564FD31">
                <wp:extent cx="932211" cy="540000"/>
                <wp:effectExtent l="0" t="0" r="1270" b="0"/>
                <wp:docPr id="2" name="Resim 2" descr="C:\Users\Fujitsu\Desktop\9001-Kalite-Yonetim-Sistemi-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jitsu\Desktop\9001-Kalite-Yonetim-Sistemi-Logosu.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211" cy="540000"/>
                        </a:xfrm>
                        <a:prstGeom prst="rect">
                          <a:avLst/>
                        </a:prstGeom>
                        <a:noFill/>
                        <a:ln>
                          <a:noFill/>
                        </a:ln>
                      </pic:spPr>
                    </pic:pic>
                  </a:graphicData>
                </a:graphic>
              </wp:inline>
            </w:drawing>
          </w:r>
        </w:p>
      </w:tc>
      <w:tc>
        <w:tcPr>
          <w:tcW w:w="5245" w:type="dxa"/>
          <w:tcBorders>
            <w:bottom w:val="nil"/>
            <w:right w:val="single" w:sz="18" w:space="0" w:color="1F497D" w:themeColor="text2"/>
          </w:tcBorders>
          <w:vAlign w:val="bottom"/>
        </w:tcPr>
        <w:p w:rsidR="00625423" w:rsidRPr="00625423" w:rsidRDefault="00625423" w:rsidP="00AD3F21">
          <w:pPr>
            <w:pStyle w:val="stbilgi"/>
            <w:jc w:val="right"/>
            <w:rPr>
              <w:rFonts w:ascii="Arial Black" w:hAnsi="Arial Black" w:cs="Times New Roman"/>
              <w:b/>
              <w:color w:val="1F497D" w:themeColor="text2"/>
              <w:sz w:val="24"/>
              <w:szCs w:val="20"/>
            </w:rPr>
          </w:pPr>
          <w:r w:rsidRPr="00625423">
            <w:rPr>
              <w:rFonts w:ascii="Arial Black" w:hAnsi="Arial Black" w:cs="Times New Roman"/>
              <w:b/>
              <w:color w:val="1F497D" w:themeColor="text2"/>
              <w:sz w:val="24"/>
              <w:szCs w:val="20"/>
            </w:rPr>
            <w:t>YOZGAT</w:t>
          </w:r>
        </w:p>
        <w:p w:rsidR="00625423" w:rsidRPr="00625423" w:rsidRDefault="00625423" w:rsidP="00614143">
          <w:pPr>
            <w:pStyle w:val="stbilgi"/>
            <w:jc w:val="right"/>
            <w:rPr>
              <w:rFonts w:ascii="Arial Black" w:hAnsi="Arial Black" w:cs="Times New Roman"/>
              <w:b/>
              <w:color w:val="1F497D" w:themeColor="text2"/>
              <w:sz w:val="20"/>
              <w:szCs w:val="20"/>
            </w:rPr>
          </w:pPr>
          <w:r w:rsidRPr="00625423">
            <w:rPr>
              <w:rFonts w:ascii="Arial Black" w:hAnsi="Arial Black" w:cs="Times New Roman"/>
              <w:b/>
              <w:color w:val="1F497D" w:themeColor="text2"/>
              <w:sz w:val="24"/>
              <w:szCs w:val="20"/>
            </w:rPr>
            <w:t xml:space="preserve">BOZOK </w:t>
          </w:r>
          <w:r w:rsidR="00614143">
            <w:rPr>
              <w:rFonts w:ascii="Arial Black" w:hAnsi="Arial Black" w:cs="Times New Roman"/>
              <w:b/>
              <w:color w:val="1F497D" w:themeColor="text2"/>
              <w:sz w:val="24"/>
              <w:szCs w:val="20"/>
            </w:rPr>
            <w:t>UNIVERSITY</w:t>
          </w:r>
        </w:p>
      </w:tc>
      <w:tc>
        <w:tcPr>
          <w:tcW w:w="709" w:type="dxa"/>
          <w:vMerge w:val="restart"/>
          <w:tcBorders>
            <w:left w:val="single" w:sz="18" w:space="0" w:color="1F497D" w:themeColor="text2"/>
            <w:bottom w:val="nil"/>
          </w:tcBorders>
          <w:textDirection w:val="btLr"/>
          <w:vAlign w:val="center"/>
        </w:tcPr>
        <w:p w:rsidR="00625423" w:rsidRPr="00625423" w:rsidRDefault="00567385" w:rsidP="00567385">
          <w:pPr>
            <w:pStyle w:val="stbilgi"/>
            <w:ind w:left="113" w:right="113"/>
            <w:rPr>
              <w:b/>
            </w:rPr>
          </w:pPr>
          <w:r>
            <w:rPr>
              <w:rFonts w:ascii="Arial Black" w:hAnsi="Arial Black"/>
              <w:b/>
              <w:color w:val="8DB3E2" w:themeColor="text2" w:themeTint="66"/>
              <w:sz w:val="20"/>
              <w:szCs w:val="20"/>
            </w:rPr>
            <w:t>BİSAMER</w:t>
          </w:r>
        </w:p>
      </w:tc>
    </w:tr>
    <w:tr w:rsidR="00625423" w:rsidTr="00AD3F21">
      <w:trPr>
        <w:trHeight w:val="576"/>
      </w:trPr>
      <w:tc>
        <w:tcPr>
          <w:tcW w:w="2660" w:type="dxa"/>
          <w:vMerge/>
          <w:tcBorders>
            <w:bottom w:val="single" w:sz="18" w:space="0" w:color="1F497D" w:themeColor="text2"/>
          </w:tcBorders>
        </w:tcPr>
        <w:p w:rsidR="00625423" w:rsidRDefault="00625423" w:rsidP="00625423">
          <w:pPr>
            <w:pStyle w:val="stbilgi"/>
            <w:rPr>
              <w:noProof/>
              <w:lang w:eastAsia="tr-TR"/>
            </w:rPr>
          </w:pPr>
        </w:p>
      </w:tc>
      <w:tc>
        <w:tcPr>
          <w:tcW w:w="2126" w:type="dxa"/>
          <w:vMerge/>
          <w:tcBorders>
            <w:bottom w:val="single" w:sz="18" w:space="0" w:color="1F497D" w:themeColor="text2"/>
          </w:tcBorders>
        </w:tcPr>
        <w:p w:rsidR="00625423" w:rsidRDefault="00625423" w:rsidP="00625423">
          <w:pPr>
            <w:pStyle w:val="stbilgi"/>
            <w:jc w:val="center"/>
            <w:rPr>
              <w:noProof/>
              <w:lang w:eastAsia="tr-TR"/>
            </w:rPr>
          </w:pPr>
        </w:p>
      </w:tc>
      <w:tc>
        <w:tcPr>
          <w:tcW w:w="5245" w:type="dxa"/>
          <w:tcBorders>
            <w:bottom w:val="single" w:sz="18" w:space="0" w:color="1F497D" w:themeColor="text2"/>
            <w:right w:val="single" w:sz="18" w:space="0" w:color="1F497D" w:themeColor="text2"/>
          </w:tcBorders>
          <w:vAlign w:val="center"/>
        </w:tcPr>
        <w:p w:rsidR="00625423" w:rsidRPr="00625423" w:rsidRDefault="00614143" w:rsidP="00AD3F21">
          <w:pPr>
            <w:pStyle w:val="stbilgi"/>
            <w:jc w:val="right"/>
            <w:rPr>
              <w:rFonts w:ascii="Arial Black" w:hAnsi="Arial Black" w:cs="Times New Roman"/>
              <w:b/>
              <w:color w:val="8DB3E2" w:themeColor="text2" w:themeTint="66"/>
              <w:sz w:val="20"/>
              <w:szCs w:val="20"/>
            </w:rPr>
          </w:pPr>
          <w:r w:rsidRPr="00614143">
            <w:rPr>
              <w:rFonts w:ascii="Arial Black" w:hAnsi="Arial Black" w:cs="Times New Roman"/>
              <w:b/>
              <w:color w:val="8DB3E2" w:themeColor="text2" w:themeTint="66"/>
              <w:sz w:val="20"/>
              <w:szCs w:val="20"/>
            </w:rPr>
            <w:t>Occupational Health and Safety and Occupational Diseases Application and Research Center</w:t>
          </w:r>
        </w:p>
      </w:tc>
      <w:tc>
        <w:tcPr>
          <w:tcW w:w="709" w:type="dxa"/>
          <w:vMerge/>
          <w:tcBorders>
            <w:left w:val="single" w:sz="18" w:space="0" w:color="1F497D" w:themeColor="text2"/>
            <w:bottom w:val="nil"/>
          </w:tcBorders>
        </w:tcPr>
        <w:p w:rsidR="00625423" w:rsidRDefault="00625423" w:rsidP="00625423">
          <w:pPr>
            <w:pStyle w:val="stbilgi"/>
          </w:pPr>
        </w:p>
      </w:tc>
    </w:tr>
  </w:tbl>
  <w:p w:rsidR="00625423" w:rsidRDefault="00625423" w:rsidP="00625423">
    <w:pPr>
      <w:pStyle w:val="stbilgi"/>
      <w:rPr>
        <w:sz w:val="10"/>
      </w:rPr>
    </w:pPr>
  </w:p>
  <w:tbl>
    <w:tblPr>
      <w:tblStyle w:val="TabloKlavuzu"/>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544"/>
      <w:gridCol w:w="3827"/>
      <w:gridCol w:w="2127"/>
      <w:gridCol w:w="1426"/>
      <w:gridCol w:w="700"/>
    </w:tblGrid>
    <w:tr w:rsidR="00614143" w:rsidRPr="003A14EE" w:rsidTr="00011100">
      <w:trPr>
        <w:trHeight w:val="20"/>
        <w:jc w:val="center"/>
      </w:trPr>
      <w:tc>
        <w:tcPr>
          <w:tcW w:w="1544" w:type="dxa"/>
          <w:vMerge w:val="restart"/>
          <w:vAlign w:val="center"/>
        </w:tcPr>
        <w:p w:rsidR="00614143" w:rsidRPr="003A14EE" w:rsidRDefault="00614143" w:rsidP="00614143">
          <w:pPr>
            <w:pStyle w:val="stbilgi"/>
            <w:jc w:val="center"/>
            <w:rPr>
              <w:rFonts w:ascii="Arial Black" w:hAnsi="Arial Black"/>
              <w:b/>
              <w:sz w:val="18"/>
              <w:szCs w:val="24"/>
            </w:rPr>
          </w:pPr>
          <w:r>
            <w:rPr>
              <w:rFonts w:ascii="Arial Black" w:hAnsi="Arial Black"/>
              <w:b/>
              <w:sz w:val="18"/>
              <w:szCs w:val="24"/>
            </w:rPr>
            <w:t>QR CODE</w:t>
          </w:r>
        </w:p>
      </w:tc>
      <w:tc>
        <w:tcPr>
          <w:tcW w:w="3827" w:type="dxa"/>
          <w:vMerge w:val="restart"/>
          <w:vAlign w:val="center"/>
        </w:tcPr>
        <w:p w:rsidR="00614143" w:rsidRPr="003A14EE" w:rsidRDefault="00614143" w:rsidP="00614143">
          <w:pPr>
            <w:pStyle w:val="stbilgi"/>
            <w:jc w:val="center"/>
            <w:rPr>
              <w:rFonts w:ascii="Arial Black" w:hAnsi="Arial Black"/>
              <w:b/>
              <w:sz w:val="18"/>
              <w:szCs w:val="24"/>
            </w:rPr>
          </w:pPr>
          <w:r w:rsidRPr="00EE5E4C">
            <w:rPr>
              <w:rFonts w:ascii="Arial Black" w:hAnsi="Arial Black"/>
              <w:b/>
              <w:sz w:val="18"/>
              <w:szCs w:val="24"/>
            </w:rPr>
            <w:t>BİSAMER INSTRUCTIONS</w:t>
          </w:r>
        </w:p>
      </w:tc>
      <w:tc>
        <w:tcPr>
          <w:tcW w:w="2127" w:type="dxa"/>
          <w:vAlign w:val="center"/>
        </w:tcPr>
        <w:p w:rsidR="00614143" w:rsidRPr="003A14EE" w:rsidRDefault="00614143" w:rsidP="00614143">
          <w:pPr>
            <w:pStyle w:val="stbilgi"/>
            <w:jc w:val="right"/>
            <w:rPr>
              <w:rFonts w:ascii="Arial Black" w:hAnsi="Arial Black"/>
              <w:b/>
              <w:sz w:val="18"/>
              <w:szCs w:val="24"/>
            </w:rPr>
          </w:pPr>
          <w:r w:rsidRPr="00957666">
            <w:rPr>
              <w:rFonts w:ascii="Arial Black" w:hAnsi="Arial Black"/>
              <w:b/>
              <w:sz w:val="18"/>
              <w:szCs w:val="24"/>
            </w:rPr>
            <w:t>Documan Number</w:t>
          </w:r>
        </w:p>
      </w:tc>
      <w:tc>
        <w:tcPr>
          <w:tcW w:w="2126" w:type="dxa"/>
          <w:gridSpan w:val="2"/>
          <w:vAlign w:val="center"/>
        </w:tcPr>
        <w:p w:rsidR="00614143" w:rsidRPr="00CC5C93" w:rsidRDefault="00614143" w:rsidP="00614143">
          <w:pPr>
            <w:pStyle w:val="stbilgi"/>
            <w:jc w:val="center"/>
            <w:rPr>
              <w:rFonts w:ascii="Arial Black" w:hAnsi="Arial Black"/>
              <w:b/>
              <w:sz w:val="18"/>
              <w:szCs w:val="18"/>
            </w:rPr>
          </w:pPr>
          <w:r>
            <w:rPr>
              <w:rFonts w:ascii="Arial Black" w:hAnsi="Arial Black"/>
              <w:b/>
              <w:sz w:val="18"/>
              <w:szCs w:val="18"/>
            </w:rPr>
            <w:t>KYT-TLM-068</w:t>
          </w:r>
        </w:p>
      </w:tc>
    </w:tr>
    <w:tr w:rsidR="00614143" w:rsidRPr="003A14EE" w:rsidTr="00011100">
      <w:trPr>
        <w:trHeight w:val="397"/>
        <w:jc w:val="center"/>
      </w:trPr>
      <w:tc>
        <w:tcPr>
          <w:tcW w:w="1544" w:type="dxa"/>
          <w:vMerge/>
        </w:tcPr>
        <w:p w:rsidR="00614143" w:rsidRPr="003A14EE" w:rsidRDefault="00614143" w:rsidP="00614143">
          <w:pPr>
            <w:pStyle w:val="stbilgi"/>
            <w:rPr>
              <w:rFonts w:ascii="Arial Black" w:hAnsi="Arial Black"/>
              <w:b/>
              <w:sz w:val="18"/>
              <w:szCs w:val="24"/>
            </w:rPr>
          </w:pPr>
        </w:p>
      </w:tc>
      <w:tc>
        <w:tcPr>
          <w:tcW w:w="3827" w:type="dxa"/>
          <w:vMerge/>
          <w:vAlign w:val="center"/>
        </w:tcPr>
        <w:p w:rsidR="00614143" w:rsidRPr="003A14EE" w:rsidRDefault="00614143" w:rsidP="00614143">
          <w:pPr>
            <w:pStyle w:val="stbilgi"/>
            <w:jc w:val="center"/>
            <w:rPr>
              <w:rFonts w:ascii="Arial Black" w:hAnsi="Arial Black"/>
              <w:b/>
              <w:sz w:val="18"/>
              <w:szCs w:val="24"/>
            </w:rPr>
          </w:pPr>
        </w:p>
      </w:tc>
      <w:tc>
        <w:tcPr>
          <w:tcW w:w="2127" w:type="dxa"/>
          <w:vAlign w:val="center"/>
        </w:tcPr>
        <w:p w:rsidR="00614143" w:rsidRPr="003A14EE" w:rsidRDefault="00614143" w:rsidP="00614143">
          <w:pPr>
            <w:pStyle w:val="stbilgi"/>
            <w:jc w:val="right"/>
            <w:rPr>
              <w:rFonts w:ascii="Arial Black" w:hAnsi="Arial Black"/>
              <w:b/>
              <w:sz w:val="18"/>
              <w:szCs w:val="24"/>
            </w:rPr>
          </w:pPr>
          <w:r w:rsidRPr="00957666">
            <w:rPr>
              <w:rFonts w:ascii="Arial Black" w:hAnsi="Arial Black"/>
              <w:b/>
              <w:sz w:val="18"/>
              <w:szCs w:val="24"/>
            </w:rPr>
            <w:t>Initial Publication Date</w:t>
          </w:r>
        </w:p>
      </w:tc>
      <w:tc>
        <w:tcPr>
          <w:tcW w:w="2126" w:type="dxa"/>
          <w:gridSpan w:val="2"/>
          <w:vAlign w:val="center"/>
        </w:tcPr>
        <w:p w:rsidR="00614143" w:rsidRPr="003A14EE" w:rsidRDefault="00614143" w:rsidP="00614143">
          <w:pPr>
            <w:pStyle w:val="stbilgi"/>
            <w:jc w:val="center"/>
            <w:rPr>
              <w:rFonts w:ascii="Arial Black" w:hAnsi="Arial Black"/>
              <w:b/>
              <w:sz w:val="18"/>
              <w:szCs w:val="24"/>
            </w:rPr>
          </w:pPr>
          <w:r>
            <w:rPr>
              <w:rFonts w:ascii="Arial Black" w:hAnsi="Arial Black"/>
              <w:b/>
              <w:sz w:val="18"/>
              <w:szCs w:val="24"/>
            </w:rPr>
            <w:t>23.12.2025</w:t>
          </w:r>
        </w:p>
      </w:tc>
    </w:tr>
    <w:tr w:rsidR="00614143" w:rsidRPr="003A14EE" w:rsidTr="00011100">
      <w:trPr>
        <w:trHeight w:val="20"/>
        <w:jc w:val="center"/>
      </w:trPr>
      <w:tc>
        <w:tcPr>
          <w:tcW w:w="1544" w:type="dxa"/>
          <w:vMerge/>
        </w:tcPr>
        <w:p w:rsidR="00614143" w:rsidRPr="003A14EE" w:rsidRDefault="00614143" w:rsidP="00614143">
          <w:pPr>
            <w:pStyle w:val="stbilgi"/>
            <w:rPr>
              <w:rFonts w:ascii="Arial Black" w:hAnsi="Arial Black"/>
              <w:b/>
              <w:sz w:val="18"/>
              <w:szCs w:val="24"/>
            </w:rPr>
          </w:pPr>
        </w:p>
      </w:tc>
      <w:tc>
        <w:tcPr>
          <w:tcW w:w="3827" w:type="dxa"/>
          <w:vMerge w:val="restart"/>
          <w:vAlign w:val="center"/>
        </w:tcPr>
        <w:p w:rsidR="00614143" w:rsidRPr="003A14EE" w:rsidRDefault="00614143" w:rsidP="00614143">
          <w:pPr>
            <w:pStyle w:val="stbilgi"/>
            <w:jc w:val="center"/>
            <w:rPr>
              <w:rFonts w:ascii="Arial Black" w:hAnsi="Arial Black"/>
              <w:b/>
              <w:sz w:val="18"/>
              <w:szCs w:val="24"/>
            </w:rPr>
          </w:pPr>
          <w:r w:rsidRPr="00614143">
            <w:rPr>
              <w:rFonts w:ascii="Arial Black" w:hAnsi="Arial Black"/>
              <w:b/>
              <w:sz w:val="18"/>
              <w:szCs w:val="24"/>
            </w:rPr>
            <w:t>LABORATORY SAFE WORKING INSTRUCTION</w:t>
          </w:r>
        </w:p>
      </w:tc>
      <w:tc>
        <w:tcPr>
          <w:tcW w:w="2127" w:type="dxa"/>
          <w:vAlign w:val="center"/>
        </w:tcPr>
        <w:p w:rsidR="00614143" w:rsidRPr="003A14EE" w:rsidRDefault="00614143" w:rsidP="00614143">
          <w:pPr>
            <w:pStyle w:val="stbilgi"/>
            <w:jc w:val="right"/>
            <w:rPr>
              <w:rFonts w:ascii="Arial Black" w:hAnsi="Arial Black"/>
              <w:b/>
              <w:sz w:val="18"/>
              <w:szCs w:val="24"/>
            </w:rPr>
          </w:pPr>
          <w:r w:rsidRPr="00957666">
            <w:rPr>
              <w:rFonts w:ascii="Arial Black" w:hAnsi="Arial Black"/>
              <w:b/>
              <w:sz w:val="18"/>
              <w:szCs w:val="24"/>
            </w:rPr>
            <w:t>Revision Date / No.</w:t>
          </w:r>
        </w:p>
      </w:tc>
      <w:tc>
        <w:tcPr>
          <w:tcW w:w="1426" w:type="dxa"/>
          <w:vAlign w:val="center"/>
        </w:tcPr>
        <w:p w:rsidR="00614143" w:rsidRPr="003A14EE" w:rsidRDefault="00614143" w:rsidP="00614143">
          <w:pPr>
            <w:pStyle w:val="stbilgi"/>
            <w:jc w:val="center"/>
            <w:rPr>
              <w:rFonts w:ascii="Arial Black" w:hAnsi="Arial Black"/>
              <w:b/>
              <w:sz w:val="18"/>
              <w:szCs w:val="24"/>
            </w:rPr>
          </w:pPr>
          <w:r>
            <w:rPr>
              <w:rFonts w:ascii="Arial Black" w:hAnsi="Arial Black"/>
              <w:b/>
              <w:sz w:val="18"/>
              <w:szCs w:val="24"/>
            </w:rPr>
            <w:t>23.12.2025</w:t>
          </w:r>
        </w:p>
      </w:tc>
      <w:tc>
        <w:tcPr>
          <w:tcW w:w="700" w:type="dxa"/>
          <w:vAlign w:val="center"/>
        </w:tcPr>
        <w:p w:rsidR="00614143" w:rsidRPr="003A14EE" w:rsidRDefault="00614143" w:rsidP="00614143">
          <w:pPr>
            <w:pStyle w:val="stbilgi"/>
            <w:jc w:val="right"/>
            <w:rPr>
              <w:rFonts w:ascii="Arial Black" w:hAnsi="Arial Black"/>
              <w:b/>
              <w:sz w:val="18"/>
              <w:szCs w:val="24"/>
            </w:rPr>
          </w:pPr>
          <w:r w:rsidRPr="00957666">
            <w:rPr>
              <w:rFonts w:ascii="Arial Black" w:hAnsi="Arial Black"/>
              <w:b/>
              <w:sz w:val="18"/>
              <w:szCs w:val="24"/>
            </w:rPr>
            <w:t>Revision Date / No.</w:t>
          </w:r>
        </w:p>
      </w:tc>
    </w:tr>
    <w:tr w:rsidR="00614143" w:rsidRPr="003A14EE" w:rsidTr="00011100">
      <w:trPr>
        <w:trHeight w:val="435"/>
        <w:jc w:val="center"/>
      </w:trPr>
      <w:tc>
        <w:tcPr>
          <w:tcW w:w="1544" w:type="dxa"/>
          <w:vMerge/>
        </w:tcPr>
        <w:p w:rsidR="00614143" w:rsidRPr="003A14EE" w:rsidRDefault="00614143" w:rsidP="00614143">
          <w:pPr>
            <w:pStyle w:val="stbilgi"/>
            <w:rPr>
              <w:rFonts w:ascii="Arial Black" w:hAnsi="Arial Black"/>
              <w:b/>
              <w:sz w:val="18"/>
              <w:szCs w:val="24"/>
            </w:rPr>
          </w:pPr>
        </w:p>
      </w:tc>
      <w:tc>
        <w:tcPr>
          <w:tcW w:w="3827" w:type="dxa"/>
          <w:vMerge/>
        </w:tcPr>
        <w:p w:rsidR="00614143" w:rsidRPr="003A14EE" w:rsidRDefault="00614143" w:rsidP="00614143">
          <w:pPr>
            <w:pStyle w:val="stbilgi"/>
            <w:rPr>
              <w:rFonts w:ascii="Arial Black" w:hAnsi="Arial Black"/>
              <w:b/>
              <w:sz w:val="18"/>
              <w:szCs w:val="24"/>
            </w:rPr>
          </w:pPr>
        </w:p>
      </w:tc>
      <w:tc>
        <w:tcPr>
          <w:tcW w:w="2127" w:type="dxa"/>
          <w:vAlign w:val="center"/>
        </w:tcPr>
        <w:p w:rsidR="00614143" w:rsidRPr="003A14EE" w:rsidRDefault="00614143" w:rsidP="00614143">
          <w:pPr>
            <w:pStyle w:val="stbilgi"/>
            <w:jc w:val="right"/>
            <w:rPr>
              <w:rFonts w:ascii="Arial Black" w:hAnsi="Arial Black"/>
              <w:b/>
              <w:sz w:val="18"/>
              <w:szCs w:val="24"/>
            </w:rPr>
          </w:pPr>
          <w:r>
            <w:rPr>
              <w:rFonts w:ascii="Arial Black" w:hAnsi="Arial Black"/>
              <w:b/>
              <w:sz w:val="18"/>
              <w:szCs w:val="24"/>
            </w:rPr>
            <w:t>Page</w:t>
          </w:r>
        </w:p>
      </w:tc>
      <w:tc>
        <w:tcPr>
          <w:tcW w:w="2126" w:type="dxa"/>
          <w:gridSpan w:val="2"/>
          <w:vAlign w:val="center"/>
        </w:tcPr>
        <w:p w:rsidR="00614143" w:rsidRPr="003A14EE" w:rsidRDefault="00614143" w:rsidP="00614143">
          <w:pPr>
            <w:pStyle w:val="stbilgi"/>
            <w:jc w:val="center"/>
            <w:rPr>
              <w:rFonts w:ascii="Arial Black" w:hAnsi="Arial Black"/>
              <w:b/>
              <w:sz w:val="18"/>
              <w:szCs w:val="24"/>
            </w:rPr>
          </w:pPr>
          <w:r w:rsidRPr="006401F2">
            <w:rPr>
              <w:rFonts w:ascii="Arial Black" w:hAnsi="Arial Black"/>
              <w:b/>
              <w:sz w:val="18"/>
              <w:szCs w:val="24"/>
            </w:rPr>
            <w:fldChar w:fldCharType="begin"/>
          </w:r>
          <w:r w:rsidRPr="006401F2">
            <w:rPr>
              <w:rFonts w:ascii="Arial Black" w:hAnsi="Arial Black"/>
              <w:b/>
              <w:sz w:val="18"/>
              <w:szCs w:val="24"/>
            </w:rPr>
            <w:instrText>PAGE  \* Arabic  \* MERGEFORMAT</w:instrText>
          </w:r>
          <w:r w:rsidRPr="006401F2">
            <w:rPr>
              <w:rFonts w:ascii="Arial Black" w:hAnsi="Arial Black"/>
              <w:b/>
              <w:sz w:val="18"/>
              <w:szCs w:val="24"/>
            </w:rPr>
            <w:fldChar w:fldCharType="separate"/>
          </w:r>
          <w:r>
            <w:rPr>
              <w:rFonts w:ascii="Arial Black" w:hAnsi="Arial Black"/>
              <w:b/>
              <w:noProof/>
              <w:sz w:val="18"/>
              <w:szCs w:val="24"/>
            </w:rPr>
            <w:t>7</w:t>
          </w:r>
          <w:r w:rsidRPr="006401F2">
            <w:rPr>
              <w:rFonts w:ascii="Arial Black" w:hAnsi="Arial Black"/>
              <w:b/>
              <w:sz w:val="18"/>
              <w:szCs w:val="24"/>
            </w:rPr>
            <w:fldChar w:fldCharType="end"/>
          </w:r>
          <w:r w:rsidRPr="006401F2">
            <w:rPr>
              <w:rFonts w:ascii="Arial Black" w:hAnsi="Arial Black"/>
              <w:b/>
              <w:sz w:val="18"/>
              <w:szCs w:val="24"/>
            </w:rPr>
            <w:t xml:space="preserve"> / </w:t>
          </w:r>
          <w:r w:rsidRPr="006401F2">
            <w:rPr>
              <w:rFonts w:ascii="Arial Black" w:hAnsi="Arial Black"/>
              <w:b/>
              <w:sz w:val="18"/>
              <w:szCs w:val="24"/>
            </w:rPr>
            <w:fldChar w:fldCharType="begin"/>
          </w:r>
          <w:r w:rsidRPr="006401F2">
            <w:rPr>
              <w:rFonts w:ascii="Arial Black" w:hAnsi="Arial Black"/>
              <w:b/>
              <w:sz w:val="18"/>
              <w:szCs w:val="24"/>
            </w:rPr>
            <w:instrText>NUMPAGES  \* Arabic  \* MERGEFORMAT</w:instrText>
          </w:r>
          <w:r w:rsidRPr="006401F2">
            <w:rPr>
              <w:rFonts w:ascii="Arial Black" w:hAnsi="Arial Black"/>
              <w:b/>
              <w:sz w:val="18"/>
              <w:szCs w:val="24"/>
            </w:rPr>
            <w:fldChar w:fldCharType="separate"/>
          </w:r>
          <w:r>
            <w:rPr>
              <w:rFonts w:ascii="Arial Black" w:hAnsi="Arial Black"/>
              <w:b/>
              <w:noProof/>
              <w:sz w:val="18"/>
              <w:szCs w:val="24"/>
            </w:rPr>
            <w:t>7</w:t>
          </w:r>
          <w:r w:rsidRPr="006401F2">
            <w:rPr>
              <w:rFonts w:ascii="Arial Black" w:hAnsi="Arial Black"/>
              <w:b/>
              <w:sz w:val="18"/>
              <w:szCs w:val="24"/>
            </w:rPr>
            <w:fldChar w:fldCharType="end"/>
          </w:r>
        </w:p>
      </w:tc>
    </w:tr>
  </w:tbl>
  <w:p w:rsidR="00625423" w:rsidRPr="003A14EE" w:rsidRDefault="003A14EE" w:rsidP="00625423">
    <w:pPr>
      <w:pStyle w:val="stbilgi"/>
      <w:rPr>
        <w:sz w:val="24"/>
        <w:szCs w:val="24"/>
      </w:rPr>
    </w:pPr>
    <w:r>
      <w:rPr>
        <w:noProof/>
        <w:lang w:eastAsia="tr-TR"/>
      </w:rPr>
      <mc:AlternateContent>
        <mc:Choice Requires="wps">
          <w:drawing>
            <wp:anchor distT="0" distB="0" distL="114300" distR="114300" simplePos="0" relativeHeight="251660288" behindDoc="0" locked="0" layoutInCell="1" allowOverlap="1" wp14:anchorId="579E9876" wp14:editId="7A4BD0BD">
              <wp:simplePos x="0" y="0"/>
              <wp:positionH relativeFrom="column">
                <wp:posOffset>-41910</wp:posOffset>
              </wp:positionH>
              <wp:positionV relativeFrom="paragraph">
                <wp:posOffset>93345</wp:posOffset>
              </wp:positionV>
              <wp:extent cx="6343650" cy="0"/>
              <wp:effectExtent l="0" t="19050" r="0" b="19050"/>
              <wp:wrapNone/>
              <wp:docPr id="5" name="Düz Bağlayıcı 5"/>
              <wp:cNvGraphicFramePr/>
              <a:graphic xmlns:a="http://schemas.openxmlformats.org/drawingml/2006/main">
                <a:graphicData uri="http://schemas.microsoft.com/office/word/2010/wordprocessingShape">
                  <wps:wsp>
                    <wps:cNvCnPr/>
                    <wps:spPr>
                      <a:xfrm>
                        <a:off x="0" y="0"/>
                        <a:ext cx="6343650" cy="0"/>
                      </a:xfrm>
                      <a:prstGeom prst="line">
                        <a:avLst/>
                      </a:prstGeom>
                      <a:ln w="28575">
                        <a:solidFill>
                          <a:schemeClr val="tx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61F945" id="Düz Bağlayıcı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7.35pt" to="496.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" strokecolor="#1f497d [3215]" strokeweight="2.25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D59"/>
    <w:rsid w:val="00011100"/>
    <w:rsid w:val="000D4E36"/>
    <w:rsid w:val="0027319C"/>
    <w:rsid w:val="003A14EE"/>
    <w:rsid w:val="00421201"/>
    <w:rsid w:val="004D05ED"/>
    <w:rsid w:val="00567385"/>
    <w:rsid w:val="005F6AB2"/>
    <w:rsid w:val="00614143"/>
    <w:rsid w:val="00625423"/>
    <w:rsid w:val="00692496"/>
    <w:rsid w:val="006C376D"/>
    <w:rsid w:val="00750D8B"/>
    <w:rsid w:val="007A27EF"/>
    <w:rsid w:val="0093477B"/>
    <w:rsid w:val="009767A4"/>
    <w:rsid w:val="00AD3F21"/>
    <w:rsid w:val="00AE3D59"/>
    <w:rsid w:val="00B452BD"/>
    <w:rsid w:val="00F83C62"/>
    <w:rsid w:val="00F97F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D43AC2-A092-4775-901D-C9E224A10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2542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25423"/>
  </w:style>
  <w:style w:type="paragraph" w:styleId="Altbilgi">
    <w:name w:val="footer"/>
    <w:basedOn w:val="Normal"/>
    <w:link w:val="AltbilgiChar"/>
    <w:uiPriority w:val="99"/>
    <w:unhideWhenUsed/>
    <w:rsid w:val="0062542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25423"/>
  </w:style>
  <w:style w:type="paragraph" w:styleId="BalonMetni">
    <w:name w:val="Balloon Text"/>
    <w:basedOn w:val="Normal"/>
    <w:link w:val="BalonMetniChar"/>
    <w:uiPriority w:val="99"/>
    <w:semiHidden/>
    <w:unhideWhenUsed/>
    <w:rsid w:val="0062542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25423"/>
    <w:rPr>
      <w:rFonts w:ascii="Tahoma" w:hAnsi="Tahoma" w:cs="Tahoma"/>
      <w:sz w:val="16"/>
      <w:szCs w:val="16"/>
    </w:rPr>
  </w:style>
  <w:style w:type="table" w:styleId="TabloKlavuzu">
    <w:name w:val="Table Grid"/>
    <w:basedOn w:val="NormalTablo"/>
    <w:uiPriority w:val="59"/>
    <w:rsid w:val="006254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C1F8D-1DB8-45AA-BFD5-A16093B2D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2046</Words>
  <Characters>11665</Characters>
  <Application>Microsoft Office Word</Application>
  <DocSecurity>0</DocSecurity>
  <Lines>97</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Acer</cp:lastModifiedBy>
  <cp:revision>3</cp:revision>
  <dcterms:created xsi:type="dcterms:W3CDTF">2025-12-24T11:31:00Z</dcterms:created>
  <dcterms:modified xsi:type="dcterms:W3CDTF">2026-08-12T13:25:00Z</dcterms:modified>
</cp:coreProperties>
</file>