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C535C" w14:textId="77777777" w:rsidR="00017426" w:rsidRDefault="003A6744" w:rsidP="00017426">
      <w:pPr>
        <w:spacing w:after="0"/>
        <w:jc w:val="center"/>
        <w:rPr>
          <w:b/>
        </w:rPr>
      </w:pPr>
      <w:r w:rsidRPr="003A6744">
        <w:rPr>
          <w:b/>
        </w:rPr>
        <w:t xml:space="preserve">YOZGAT BOZOK ÜNİVERSİTESİ BAP KOORDİNASYON BİRİMİ </w:t>
      </w:r>
    </w:p>
    <w:p w14:paraId="10E8ACAE" w14:textId="21E6924B" w:rsidR="003A6744" w:rsidRDefault="003A6744" w:rsidP="00017426">
      <w:pPr>
        <w:spacing w:after="0"/>
        <w:jc w:val="center"/>
        <w:rPr>
          <w:b/>
        </w:rPr>
      </w:pPr>
      <w:r w:rsidRPr="003A6744">
        <w:rPr>
          <w:b/>
        </w:rPr>
        <w:t>202</w:t>
      </w:r>
      <w:r>
        <w:rPr>
          <w:b/>
        </w:rPr>
        <w:t>6</w:t>
      </w:r>
      <w:r w:rsidRPr="003A6744">
        <w:rPr>
          <w:b/>
        </w:rPr>
        <w:t xml:space="preserve"> YILI 1. GÜDÜMLÜ PROJE ÇAĞRISI</w:t>
      </w:r>
    </w:p>
    <w:p w14:paraId="4C370C0A" w14:textId="77777777" w:rsidR="00017426" w:rsidRPr="003A6744" w:rsidRDefault="00017426" w:rsidP="00017426">
      <w:pPr>
        <w:spacing w:after="0"/>
        <w:jc w:val="center"/>
        <w:rPr>
          <w:b/>
        </w:rPr>
      </w:pPr>
    </w:p>
    <w:p w14:paraId="49355CB0" w14:textId="77777777" w:rsidR="003A6744" w:rsidRDefault="003A6744" w:rsidP="003A6744">
      <w:pPr>
        <w:jc w:val="both"/>
      </w:pPr>
      <w:r w:rsidRPr="003A6744">
        <w:t>Yozgat Bozok Üniversitesi Bilimsel Araştırma Projeleri Komisyonu, ülkemizin Bilim, Teknoloji ve Yenilik Stratejisi ve Üniversitemizin Stratejik Planı kapsamında bilim, teknoloji ve yenilik alanlarında ihtiyaç duyulan öncelikli alanlarda alternatif çözüm önerileri sunabilecek, elde edilen sonuçlarının izlenebilir hedefleri olan Güdümlü Proje önerilerini desteklemek için proje çağrısının yapılmasına karar vermiştir.</w:t>
      </w:r>
    </w:p>
    <w:p w14:paraId="1F319EBC" w14:textId="5D0E7988" w:rsidR="003A6744" w:rsidRDefault="003A6744" w:rsidP="003A6744">
      <w:pPr>
        <w:rPr>
          <w:b/>
        </w:rPr>
      </w:pPr>
      <w:r w:rsidRPr="003A6744">
        <w:rPr>
          <w:b/>
        </w:rPr>
        <w:t xml:space="preserve">Amaç ve </w:t>
      </w:r>
      <w:r>
        <w:rPr>
          <w:b/>
        </w:rPr>
        <w:t>Kapsam</w:t>
      </w:r>
      <w:r w:rsidRPr="003A6744">
        <w:rPr>
          <w:b/>
        </w:rPr>
        <w:t xml:space="preserve">: </w:t>
      </w:r>
    </w:p>
    <w:p w14:paraId="01857EC7" w14:textId="32E5C846" w:rsidR="00017426" w:rsidRPr="003A6744" w:rsidRDefault="00017426" w:rsidP="00017426">
      <w:pPr>
        <w:jc w:val="both"/>
      </w:pPr>
      <w:r w:rsidRPr="003A6744">
        <w:t>Yozgat yöresine ait somut olmayan kültürel miras unsurlarının bilimsel yöntemlerle derlenmesi, arşivlenmesi ve yeniden canlandırılmasına yönelik proje önerileri çağrıya açılmıştır.</w:t>
      </w:r>
    </w:p>
    <w:p w14:paraId="09943459" w14:textId="77777777" w:rsidR="003A6744" w:rsidRPr="003A6744" w:rsidRDefault="003A6744" w:rsidP="003A6744">
      <w:pPr>
        <w:jc w:val="both"/>
      </w:pPr>
      <w:r w:rsidRPr="003A6744">
        <w:t xml:space="preserve">Bu çağrının amacı; Yozgat yöresine özgü, unutulmaya yüz tutmuş halk oyunlarının </w:t>
      </w:r>
      <w:r w:rsidRPr="003A6744">
        <w:rPr>
          <w:b/>
          <w:bCs/>
        </w:rPr>
        <w:t>müzik, kıyafet ve dans bütünlüğü içerisinde</w:t>
      </w:r>
      <w:r w:rsidRPr="003A6744">
        <w:t xml:space="preserve"> bilimsel ve sanatsal yaklaşımlarla yeniden canlandırılmasını sağlamak, bu kültürel mirası kayıt altına alarak sürdürülebilir bir aktarım modeli geliştirmektir.</w:t>
      </w:r>
    </w:p>
    <w:p w14:paraId="0FD1BF67" w14:textId="52E6478B" w:rsidR="003A6744" w:rsidRPr="00017426" w:rsidRDefault="003A6744" w:rsidP="00017426">
      <w:pPr>
        <w:jc w:val="both"/>
      </w:pPr>
      <w:r w:rsidRPr="003A6744">
        <w:t>Küreselleşme, kentleşme ve kültürel dönüşüm süreçleri nedeniyle halk oyunları başta olmak üzere somut olmayan kültürel miras unsurları yok olma riskiyle karşı karşıyadır. Bu bağlamda çağrı, kültürel kimliğin korunması, akademik folklor araştırmalarının geliştirilmesi ve genç kuşakların kültürel değerlerle bağının güçlendirilmesini hedeflemektedir.</w:t>
      </w:r>
    </w:p>
    <w:p w14:paraId="7CA87D6C" w14:textId="77777777" w:rsidR="003A6744" w:rsidRPr="003A6744" w:rsidRDefault="003A6744" w:rsidP="003A6744">
      <w:pPr>
        <w:rPr>
          <w:b/>
        </w:rPr>
      </w:pPr>
      <w:r w:rsidRPr="003A6744">
        <w:rPr>
          <w:b/>
        </w:rPr>
        <w:t>Projenin Hedefleri</w:t>
      </w:r>
    </w:p>
    <w:p w14:paraId="1D7B79B2" w14:textId="77777777" w:rsidR="003A6744" w:rsidRPr="003A6744" w:rsidRDefault="003A6744" w:rsidP="003A6744">
      <w:r w:rsidRPr="003A6744">
        <w:t>Bu çağrı kapsamında önerilecek projelerin aşağıdaki hedeflere hizmet etmesi beklenmektedir:</w:t>
      </w:r>
    </w:p>
    <w:p w14:paraId="24F87583" w14:textId="77777777" w:rsidR="003A6744" w:rsidRPr="003A6744" w:rsidRDefault="003A6744" w:rsidP="003A6744">
      <w:pPr>
        <w:numPr>
          <w:ilvl w:val="0"/>
          <w:numId w:val="2"/>
        </w:numPr>
      </w:pPr>
      <w:r w:rsidRPr="003A6744">
        <w:t>Yozgat yöresine ait halk oyunlarının, ezgilerinin ve geleneksel kıyafetlerinin saha çalışmaları ve yaşayan ustalarla yapılacak görüşmeler yoluyla derlenmesi,</w:t>
      </w:r>
    </w:p>
    <w:p w14:paraId="6AC0DFE1" w14:textId="77777777" w:rsidR="003A6744" w:rsidRPr="003A6744" w:rsidRDefault="003A6744" w:rsidP="003A6744">
      <w:pPr>
        <w:numPr>
          <w:ilvl w:val="0"/>
          <w:numId w:val="2"/>
        </w:numPr>
      </w:pPr>
      <w:r w:rsidRPr="003A6744">
        <w:t>Derlenen müzik, dans ve kostüm unsurlarının akademik standartlara uygun biçimde kayıt altına alınması ve arşivlenmesi,</w:t>
      </w:r>
    </w:p>
    <w:p w14:paraId="0459AAE9" w14:textId="77777777" w:rsidR="003A6744" w:rsidRPr="003A6744" w:rsidRDefault="003A6744" w:rsidP="003A6744">
      <w:pPr>
        <w:numPr>
          <w:ilvl w:val="0"/>
          <w:numId w:val="2"/>
        </w:numPr>
      </w:pPr>
      <w:r w:rsidRPr="003A6744">
        <w:t>Yöresel özelliklere sadık kalınarak halk oyunlarına ait müziklerin yeniden icra edilmesi ve geleneksel kıyafetlerin tasarlanması,</w:t>
      </w:r>
    </w:p>
    <w:p w14:paraId="7EFE5CE5" w14:textId="77777777" w:rsidR="003A6744" w:rsidRPr="003A6744" w:rsidRDefault="003A6744" w:rsidP="003A6744">
      <w:pPr>
        <w:numPr>
          <w:ilvl w:val="0"/>
          <w:numId w:val="2"/>
        </w:numPr>
      </w:pPr>
      <w:r w:rsidRPr="003A6744">
        <w:t>Üniversite öğrencilerinin katılımıyla atölye ve uygulamalı çalışmalar düzenlenerek halk oyunlarının sahneleme pratiğine dönüştürülmesi,</w:t>
      </w:r>
    </w:p>
    <w:p w14:paraId="7F3EBC7E" w14:textId="77777777" w:rsidR="003A6744" w:rsidRDefault="003A6744" w:rsidP="003A6744">
      <w:pPr>
        <w:numPr>
          <w:ilvl w:val="0"/>
          <w:numId w:val="2"/>
        </w:numPr>
      </w:pPr>
      <w:r w:rsidRPr="003A6744">
        <w:t>Elde edilen çıktıların eğitim, tanıtım ve bilimsel yayın faaliyetlerinde kullanılabilir hâle getirilmesi.</w:t>
      </w:r>
    </w:p>
    <w:p w14:paraId="67537A88" w14:textId="77777777" w:rsidR="00017426" w:rsidRPr="003A6744" w:rsidRDefault="00017426" w:rsidP="00017426">
      <w:pPr>
        <w:ind w:left="720"/>
      </w:pPr>
    </w:p>
    <w:p w14:paraId="3C82DDC9" w14:textId="77777777" w:rsidR="003A6744" w:rsidRPr="003A6744" w:rsidRDefault="003A6744" w:rsidP="003A6744"/>
    <w:p w14:paraId="5B0FC2C9" w14:textId="0890A7D9" w:rsidR="003A6744" w:rsidRPr="003A6744" w:rsidRDefault="003A6744" w:rsidP="003A6744">
      <w:r w:rsidRPr="003A6744">
        <w:rPr>
          <w:b/>
        </w:rPr>
        <w:lastRenderedPageBreak/>
        <w:t>Güdümlü Proje Öncelikli Alanı:</w:t>
      </w:r>
      <w:r w:rsidRPr="003A6744">
        <w:t xml:space="preserve"> </w:t>
      </w:r>
    </w:p>
    <w:p w14:paraId="270D5D36" w14:textId="77777777" w:rsidR="003A6744" w:rsidRPr="003A6744" w:rsidRDefault="003A6744" w:rsidP="003A6744">
      <w:pPr>
        <w:rPr>
          <w:bCs/>
        </w:rPr>
      </w:pPr>
      <w:r w:rsidRPr="003A6744">
        <w:rPr>
          <w:bCs/>
        </w:rPr>
        <w:t xml:space="preserve">Bu çağrı kapsamında yapılacak projelerin, </w:t>
      </w:r>
      <w:r w:rsidRPr="003A6744">
        <w:rPr>
          <w:b/>
          <w:bCs/>
        </w:rPr>
        <w:t>Sürdürülebilir Kalkınma Amaçları (SKA)</w:t>
      </w:r>
      <w:r w:rsidRPr="003A6744">
        <w:rPr>
          <w:bCs/>
        </w:rPr>
        <w:t xml:space="preserve"> ile ilişkili olması beklenmektedir. Özellikle;</w:t>
      </w:r>
    </w:p>
    <w:p w14:paraId="46BDB955" w14:textId="77777777" w:rsidR="003A6744" w:rsidRPr="003A6744" w:rsidRDefault="003A6744" w:rsidP="003A6744">
      <w:pPr>
        <w:numPr>
          <w:ilvl w:val="0"/>
          <w:numId w:val="3"/>
        </w:numPr>
        <w:rPr>
          <w:bCs/>
        </w:rPr>
      </w:pPr>
      <w:r w:rsidRPr="003A6744">
        <w:rPr>
          <w:b/>
          <w:bCs/>
        </w:rPr>
        <w:t>Nitelikli Eğitim (SKA 4):</w:t>
      </w:r>
      <w:r w:rsidRPr="003A6744">
        <w:rPr>
          <w:bCs/>
        </w:rPr>
        <w:t xml:space="preserve"> Kültürel mirasın eğitim süreçlerine entegre edilmesi ve öğrenci katılımının artırılması,</w:t>
      </w:r>
    </w:p>
    <w:p w14:paraId="777BCE1D" w14:textId="77777777" w:rsidR="003A6744" w:rsidRPr="003A6744" w:rsidRDefault="003A6744" w:rsidP="003A6744">
      <w:pPr>
        <w:numPr>
          <w:ilvl w:val="0"/>
          <w:numId w:val="3"/>
        </w:numPr>
        <w:rPr>
          <w:bCs/>
        </w:rPr>
      </w:pPr>
      <w:r w:rsidRPr="003A6744">
        <w:rPr>
          <w:b/>
          <w:bCs/>
        </w:rPr>
        <w:t>Sürdürülebilir Şehirler ve Topluluklar (SKA 11):</w:t>
      </w:r>
      <w:r w:rsidRPr="003A6744">
        <w:rPr>
          <w:bCs/>
        </w:rPr>
        <w:t xml:space="preserve"> Yerel kültürel mirasın korunması ve yaşatılması,</w:t>
      </w:r>
    </w:p>
    <w:p w14:paraId="639F1F60" w14:textId="77777777" w:rsidR="003A6744" w:rsidRPr="003A6744" w:rsidRDefault="003A6744" w:rsidP="003A6744">
      <w:pPr>
        <w:numPr>
          <w:ilvl w:val="0"/>
          <w:numId w:val="3"/>
        </w:numPr>
        <w:rPr>
          <w:bCs/>
        </w:rPr>
      </w:pPr>
      <w:r w:rsidRPr="003A6744">
        <w:rPr>
          <w:b/>
          <w:bCs/>
        </w:rPr>
        <w:t>Sorumlu Üretim ve Tüketim (SKA 12):</w:t>
      </w:r>
      <w:r w:rsidRPr="003A6744">
        <w:rPr>
          <w:bCs/>
        </w:rPr>
        <w:t xml:space="preserve"> Kültürel değerlerin bilinçli ve sürdürülebilir biçimde aktarılması,</w:t>
      </w:r>
    </w:p>
    <w:p w14:paraId="6A8394FE" w14:textId="77777777" w:rsidR="003A6744" w:rsidRPr="003A6744" w:rsidRDefault="003A6744" w:rsidP="003A6744">
      <w:pPr>
        <w:numPr>
          <w:ilvl w:val="0"/>
          <w:numId w:val="3"/>
        </w:numPr>
        <w:rPr>
          <w:bCs/>
        </w:rPr>
      </w:pPr>
      <w:r w:rsidRPr="003A6744">
        <w:rPr>
          <w:b/>
          <w:bCs/>
        </w:rPr>
        <w:t>Amaçlar için Ortaklıklar (SKA 17):</w:t>
      </w:r>
      <w:r w:rsidRPr="003A6744">
        <w:rPr>
          <w:bCs/>
        </w:rPr>
        <w:t xml:space="preserve"> Üniversite, yerel sanatçılar ve kültürel paydaşlar arasında iş birliğinin geliştirilmesi</w:t>
      </w:r>
    </w:p>
    <w:p w14:paraId="3B142990" w14:textId="074EAC83" w:rsidR="00017426" w:rsidRDefault="003A6744" w:rsidP="003A6744">
      <w:pPr>
        <w:rPr>
          <w:bCs/>
        </w:rPr>
      </w:pPr>
      <w:proofErr w:type="gramStart"/>
      <w:r w:rsidRPr="003A6744">
        <w:rPr>
          <w:bCs/>
        </w:rPr>
        <w:t>amaçlarıyla</w:t>
      </w:r>
      <w:proofErr w:type="gramEnd"/>
      <w:r w:rsidRPr="003A6744">
        <w:rPr>
          <w:bCs/>
        </w:rPr>
        <w:t xml:space="preserve"> doğrudan ilişkili projelere öncelik verilecektir.</w:t>
      </w:r>
    </w:p>
    <w:p w14:paraId="110F11C6" w14:textId="2B3150B3" w:rsidR="003A6744" w:rsidRPr="00017426" w:rsidRDefault="00017426" w:rsidP="003A6744">
      <w:pPr>
        <w:rPr>
          <w:b/>
          <w:bCs/>
        </w:rPr>
      </w:pPr>
      <w:r w:rsidRPr="00017426">
        <w:rPr>
          <w:b/>
          <w:bCs/>
        </w:rPr>
        <w:t>Destek İlkeleri</w:t>
      </w:r>
    </w:p>
    <w:p w14:paraId="652FA6EF" w14:textId="764F1505" w:rsidR="003A6744" w:rsidRPr="00017426" w:rsidRDefault="003A6744" w:rsidP="00CD6C75">
      <w:pPr>
        <w:jc w:val="both"/>
      </w:pPr>
      <w:r w:rsidRPr="00017426">
        <w:rPr>
          <w:b/>
        </w:rPr>
        <w:t>Başvuru tarihi</w:t>
      </w:r>
      <w:r w:rsidRPr="00017426">
        <w:rPr>
          <w:b/>
          <w:bCs/>
        </w:rPr>
        <w:t>:</w:t>
      </w:r>
      <w:r w:rsidR="00017426" w:rsidRPr="00017426">
        <w:rPr>
          <w:b/>
          <w:bCs/>
        </w:rPr>
        <w:t xml:space="preserve"> 09</w:t>
      </w:r>
      <w:r w:rsidRPr="00017426">
        <w:rPr>
          <w:b/>
          <w:bCs/>
        </w:rPr>
        <w:t>-</w:t>
      </w:r>
      <w:r w:rsidR="00017426" w:rsidRPr="00017426">
        <w:rPr>
          <w:b/>
          <w:bCs/>
        </w:rPr>
        <w:t>19</w:t>
      </w:r>
      <w:r w:rsidRPr="00017426">
        <w:rPr>
          <w:b/>
          <w:bCs/>
        </w:rPr>
        <w:t xml:space="preserve"> </w:t>
      </w:r>
      <w:r w:rsidR="00CD6C75" w:rsidRPr="00017426">
        <w:rPr>
          <w:b/>
          <w:bCs/>
        </w:rPr>
        <w:t xml:space="preserve">OCAK </w:t>
      </w:r>
      <w:r w:rsidRPr="00017426">
        <w:rPr>
          <w:b/>
          <w:bCs/>
        </w:rPr>
        <w:t>202</w:t>
      </w:r>
      <w:r w:rsidR="00CD6C75" w:rsidRPr="00017426">
        <w:rPr>
          <w:b/>
          <w:bCs/>
        </w:rPr>
        <w:t>6</w:t>
      </w:r>
      <w:r w:rsidRPr="00017426">
        <w:t xml:space="preserve"> </w:t>
      </w:r>
    </w:p>
    <w:p w14:paraId="70240459" w14:textId="77777777" w:rsidR="003A6744" w:rsidRPr="00017426" w:rsidRDefault="003A6744" w:rsidP="00CD6C75">
      <w:pPr>
        <w:jc w:val="both"/>
      </w:pPr>
      <w:r w:rsidRPr="00017426">
        <w:rPr>
          <w:b/>
        </w:rPr>
        <w:t>Proje Süresi:</w:t>
      </w:r>
      <w:r w:rsidRPr="00017426">
        <w:t xml:space="preserve"> En fazla 36 ay olmak üzere Komisyon tarafından belirlenir.</w:t>
      </w:r>
    </w:p>
    <w:p w14:paraId="7C66D371" w14:textId="0C00698B" w:rsidR="003A6744" w:rsidRPr="00017426" w:rsidRDefault="003A6744" w:rsidP="00CD6C75">
      <w:pPr>
        <w:jc w:val="both"/>
      </w:pPr>
      <w:r w:rsidRPr="00017426">
        <w:rPr>
          <w:b/>
        </w:rPr>
        <w:t>Proje Bütçe Limiti:</w:t>
      </w:r>
      <w:r w:rsidRPr="00017426">
        <w:t xml:space="preserve"> 1.000.000 TL (Gerektiğinde limitin %50’si kadar artırılması)</w:t>
      </w:r>
    </w:p>
    <w:p w14:paraId="0FCA864C" w14:textId="1C5635DA" w:rsidR="003A6744" w:rsidRPr="00017426" w:rsidRDefault="003A6744" w:rsidP="00CD6C75">
      <w:pPr>
        <w:jc w:val="both"/>
      </w:pPr>
      <w:r w:rsidRPr="00017426">
        <w:rPr>
          <w:b/>
        </w:rPr>
        <w:t>Yüksek Lisans Bursiyer:</w:t>
      </w:r>
      <w:r w:rsidRPr="00017426">
        <w:t xml:space="preserve"> </w:t>
      </w:r>
      <w:r w:rsidR="00CD6C75" w:rsidRPr="00017426">
        <w:t>9</w:t>
      </w:r>
      <w:r w:rsidRPr="00017426">
        <w:t xml:space="preserve">.000 TL </w:t>
      </w:r>
    </w:p>
    <w:p w14:paraId="678EC8FB" w14:textId="26077F6D" w:rsidR="003A6744" w:rsidRPr="00017426" w:rsidRDefault="003A6744" w:rsidP="00CD6C75">
      <w:pPr>
        <w:jc w:val="both"/>
      </w:pPr>
      <w:r w:rsidRPr="00017426">
        <w:rPr>
          <w:b/>
        </w:rPr>
        <w:t>Doktora Bursiyer:</w:t>
      </w:r>
      <w:r w:rsidRPr="00017426">
        <w:t xml:space="preserve"> 1</w:t>
      </w:r>
      <w:r w:rsidR="00CD6C75" w:rsidRPr="00017426">
        <w:t>3</w:t>
      </w:r>
      <w:r w:rsidRPr="00017426">
        <w:t>.000 TL</w:t>
      </w:r>
    </w:p>
    <w:p w14:paraId="6BC127F0" w14:textId="77777777" w:rsidR="003A6744" w:rsidRDefault="003A6744" w:rsidP="00CD6C75">
      <w:pPr>
        <w:jc w:val="both"/>
      </w:pPr>
      <w:r w:rsidRPr="00017426">
        <w:rPr>
          <w:b/>
        </w:rPr>
        <w:t>Kongre Destek:</w:t>
      </w:r>
      <w:r w:rsidRPr="00017426">
        <w:t xml:space="preserve"> 30.000 TL</w:t>
      </w:r>
      <w:bookmarkStart w:id="0" w:name="_GoBack"/>
      <w:bookmarkEnd w:id="0"/>
    </w:p>
    <w:p w14:paraId="249ACA3D" w14:textId="77777777" w:rsidR="00017426" w:rsidRPr="00017426" w:rsidRDefault="00017426" w:rsidP="00017426">
      <w:pPr>
        <w:jc w:val="both"/>
        <w:rPr>
          <w:b/>
        </w:rPr>
      </w:pPr>
      <w:r w:rsidRPr="00017426">
        <w:rPr>
          <w:b/>
        </w:rPr>
        <w:t xml:space="preserve">Değerlendirme: </w:t>
      </w:r>
    </w:p>
    <w:p w14:paraId="49D5A7FF" w14:textId="52EDEAD6" w:rsidR="00017426" w:rsidRPr="00017426" w:rsidRDefault="00017426" w:rsidP="00CD6C75">
      <w:pPr>
        <w:jc w:val="both"/>
        <w:rPr>
          <w:rFonts w:ascii="Arial" w:hAnsi="Arial" w:cs="Arial"/>
        </w:rPr>
      </w:pPr>
      <w:r w:rsidRPr="00371E5E">
        <w:rPr>
          <w:rFonts w:ascii="Arial" w:hAnsi="Arial" w:cs="Arial"/>
        </w:rPr>
        <w:t>Başvurular, BAP Komisyonu tarafından değerlendirilerek karara bağlanır. Proje yürütücüleri, 6 aylık dönemlerde ara rapor sunmak ve proje sonunda sonuç raporu hazırlamakla yükümlüdür.</w:t>
      </w:r>
    </w:p>
    <w:p w14:paraId="339DAECB" w14:textId="77777777" w:rsidR="003A6744" w:rsidRPr="00017426" w:rsidRDefault="003A6744" w:rsidP="00CD6C75">
      <w:pPr>
        <w:jc w:val="both"/>
      </w:pPr>
      <w:r w:rsidRPr="00017426">
        <w:rPr>
          <w:b/>
        </w:rPr>
        <w:t>Proje kapatma koşulu:</w:t>
      </w:r>
      <w:r w:rsidRPr="00017426">
        <w:t xml:space="preserve"> Proje ile üniversitemizin stratejik hedeflerine uygun yeni araştırma alt yapılarının oluşturulması söz konusu olduğundan, kapatma koşulu komisyon tarafından değerlendirilecektir. </w:t>
      </w:r>
    </w:p>
    <w:p w14:paraId="547C1183" w14:textId="77777777" w:rsidR="00017426" w:rsidRDefault="003A6744" w:rsidP="00CD6C75">
      <w:pPr>
        <w:jc w:val="both"/>
      </w:pPr>
      <w:r w:rsidRPr="00017426">
        <w:t xml:space="preserve">Desteklenen projelerin sonuçlarının proje sonuçlandıktan sonra en geç bir yıl içinde </w:t>
      </w:r>
      <w:proofErr w:type="spellStart"/>
      <w:r w:rsidRPr="00017426">
        <w:t>Science</w:t>
      </w:r>
      <w:proofErr w:type="spellEnd"/>
      <w:r w:rsidRPr="00017426">
        <w:t xml:space="preserve"> </w:t>
      </w:r>
      <w:proofErr w:type="spellStart"/>
      <w:r w:rsidRPr="00017426">
        <w:t>Citation</w:t>
      </w:r>
      <w:proofErr w:type="spellEnd"/>
      <w:r w:rsidRPr="00017426">
        <w:t xml:space="preserve"> Index-</w:t>
      </w:r>
      <w:proofErr w:type="spellStart"/>
      <w:r w:rsidRPr="00017426">
        <w:t>Expanded</w:t>
      </w:r>
      <w:proofErr w:type="spellEnd"/>
      <w:r w:rsidRPr="00017426">
        <w:t xml:space="preserve"> (SCI-E), </w:t>
      </w:r>
      <w:proofErr w:type="spellStart"/>
      <w:r w:rsidRPr="00017426">
        <w:t>Social</w:t>
      </w:r>
      <w:proofErr w:type="spellEnd"/>
      <w:r w:rsidRPr="00017426">
        <w:t xml:space="preserve"> </w:t>
      </w:r>
      <w:proofErr w:type="spellStart"/>
      <w:r w:rsidRPr="00017426">
        <w:t>Sc</w:t>
      </w:r>
      <w:r w:rsidR="00D56A93" w:rsidRPr="00017426">
        <w:t>ience</w:t>
      </w:r>
      <w:proofErr w:type="spellEnd"/>
      <w:r w:rsidR="00D56A93" w:rsidRPr="00017426">
        <w:t xml:space="preserve"> </w:t>
      </w:r>
      <w:proofErr w:type="spellStart"/>
      <w:r w:rsidR="00D56A93" w:rsidRPr="00017426">
        <w:t>Citation</w:t>
      </w:r>
      <w:proofErr w:type="spellEnd"/>
      <w:r w:rsidR="00D56A93" w:rsidRPr="00017426">
        <w:t xml:space="preserve"> Index (SSCI),</w:t>
      </w:r>
      <w:r w:rsidRPr="00017426">
        <w:t xml:space="preserve"> </w:t>
      </w:r>
      <w:proofErr w:type="spellStart"/>
      <w:r w:rsidRPr="00017426">
        <w:t>Arts</w:t>
      </w:r>
      <w:proofErr w:type="spellEnd"/>
      <w:r w:rsidRPr="00017426">
        <w:t xml:space="preserve"> </w:t>
      </w:r>
      <w:proofErr w:type="spellStart"/>
      <w:r w:rsidRPr="00017426">
        <w:t>and</w:t>
      </w:r>
      <w:proofErr w:type="spellEnd"/>
      <w:r w:rsidRPr="00017426">
        <w:t xml:space="preserve"> </w:t>
      </w:r>
      <w:proofErr w:type="spellStart"/>
      <w:r w:rsidRPr="00017426">
        <w:t>Humanities</w:t>
      </w:r>
      <w:proofErr w:type="spellEnd"/>
      <w:r w:rsidRPr="00017426">
        <w:t xml:space="preserve"> </w:t>
      </w:r>
      <w:proofErr w:type="spellStart"/>
      <w:r w:rsidRPr="00017426">
        <w:t>Citation</w:t>
      </w:r>
      <w:proofErr w:type="spellEnd"/>
      <w:r w:rsidRPr="00017426">
        <w:t xml:space="preserve"> Index (AHCI)</w:t>
      </w:r>
      <w:r w:rsidR="00D56A93" w:rsidRPr="00017426">
        <w:t xml:space="preserve">, </w:t>
      </w:r>
      <w:proofErr w:type="spellStart"/>
      <w:r w:rsidR="00D56A93" w:rsidRPr="00017426">
        <w:t>TRDizin</w:t>
      </w:r>
      <w:proofErr w:type="spellEnd"/>
      <w:r w:rsidR="00D56A93" w:rsidRPr="00017426">
        <w:t xml:space="preserve"> veya </w:t>
      </w:r>
      <w:proofErr w:type="spellStart"/>
      <w:r w:rsidR="00BE6187" w:rsidRPr="00017426">
        <w:t>SPORTDiscus</w:t>
      </w:r>
      <w:proofErr w:type="spellEnd"/>
      <w:r w:rsidRPr="00017426">
        <w:t xml:space="preserve"> indeksleri kapsamında yer alan dergilerde tam metin makale olarak yayınlanması beklenir. </w:t>
      </w:r>
    </w:p>
    <w:p w14:paraId="0C56EA4A" w14:textId="77777777" w:rsidR="00017426" w:rsidRDefault="00017426" w:rsidP="00CD6C75">
      <w:pPr>
        <w:jc w:val="both"/>
      </w:pPr>
    </w:p>
    <w:p w14:paraId="7D66C47D" w14:textId="77777777" w:rsidR="00017426" w:rsidRDefault="00017426" w:rsidP="00CD6C75">
      <w:pPr>
        <w:jc w:val="both"/>
      </w:pPr>
    </w:p>
    <w:p w14:paraId="3062659A" w14:textId="2CFBFF71" w:rsidR="00017426" w:rsidRPr="00017426" w:rsidRDefault="00017426" w:rsidP="00CD6C75">
      <w:pPr>
        <w:jc w:val="both"/>
        <w:rPr>
          <w:b/>
        </w:rPr>
      </w:pPr>
      <w:r w:rsidRPr="00017426">
        <w:rPr>
          <w:b/>
        </w:rPr>
        <w:lastRenderedPageBreak/>
        <w:t>Bu şartların sağlanamaması durumunda;</w:t>
      </w:r>
    </w:p>
    <w:p w14:paraId="4BE7AFDA" w14:textId="77777777" w:rsidR="00017426" w:rsidRPr="00017426" w:rsidRDefault="00017426" w:rsidP="00017426">
      <w:pPr>
        <w:numPr>
          <w:ilvl w:val="0"/>
          <w:numId w:val="4"/>
        </w:numPr>
        <w:rPr>
          <w:bCs/>
        </w:rPr>
      </w:pPr>
      <w:r w:rsidRPr="00017426">
        <w:rPr>
          <w:bCs/>
        </w:rPr>
        <w:t>Yozgat halk oyunlarının bilimsel olarak belgelenmesi ve arşivlenmesi,</w:t>
      </w:r>
    </w:p>
    <w:p w14:paraId="12520D9F" w14:textId="77777777" w:rsidR="00017426" w:rsidRPr="00017426" w:rsidRDefault="00017426" w:rsidP="00017426">
      <w:pPr>
        <w:numPr>
          <w:ilvl w:val="0"/>
          <w:numId w:val="4"/>
        </w:numPr>
        <w:rPr>
          <w:bCs/>
        </w:rPr>
      </w:pPr>
      <w:r w:rsidRPr="00017426">
        <w:rPr>
          <w:bCs/>
        </w:rPr>
        <w:t>Üniversite ve bölge gençliğinde kültürel farkındalığın artırılması,</w:t>
      </w:r>
    </w:p>
    <w:p w14:paraId="70E154EA" w14:textId="77777777" w:rsidR="00017426" w:rsidRPr="00017426" w:rsidRDefault="00017426" w:rsidP="00017426">
      <w:pPr>
        <w:numPr>
          <w:ilvl w:val="0"/>
          <w:numId w:val="4"/>
        </w:numPr>
        <w:rPr>
          <w:bCs/>
        </w:rPr>
      </w:pPr>
      <w:r w:rsidRPr="00017426">
        <w:rPr>
          <w:bCs/>
        </w:rPr>
        <w:t>Ulusal ve uluslararası platformlarda Yozgat’ın kültürel kimliğinin temsil edilmesi,</w:t>
      </w:r>
    </w:p>
    <w:p w14:paraId="1A259F71" w14:textId="03FE5F90" w:rsidR="00017426" w:rsidRPr="00017426" w:rsidRDefault="00017426" w:rsidP="00017426">
      <w:pPr>
        <w:numPr>
          <w:ilvl w:val="0"/>
          <w:numId w:val="4"/>
        </w:numPr>
        <w:rPr>
          <w:bCs/>
        </w:rPr>
      </w:pPr>
      <w:r w:rsidRPr="00017426">
        <w:rPr>
          <w:bCs/>
        </w:rPr>
        <w:t>Proje sonuçlarına dayalı bilimsel yayın, sanatsal üretim veya tanıtım materyallerinin hazırlanması</w:t>
      </w:r>
      <w:r>
        <w:rPr>
          <w:bCs/>
        </w:rPr>
        <w:t xml:space="preserve">, projenin kapatılması için BAP Komisyonu’nun uygun gördüğü </w:t>
      </w:r>
      <w:proofErr w:type="gramStart"/>
      <w:r>
        <w:rPr>
          <w:bCs/>
        </w:rPr>
        <w:t>taktirde</w:t>
      </w:r>
      <w:proofErr w:type="gramEnd"/>
      <w:r>
        <w:rPr>
          <w:bCs/>
        </w:rPr>
        <w:t xml:space="preserve"> kabul edilir.</w:t>
      </w:r>
      <w:r w:rsidRPr="00017426">
        <w:rPr>
          <w:bCs/>
        </w:rPr>
        <w:t xml:space="preserve"> </w:t>
      </w:r>
    </w:p>
    <w:p w14:paraId="43477345" w14:textId="36B8BA1D" w:rsidR="003A6744" w:rsidRPr="00017426" w:rsidRDefault="003A6744" w:rsidP="00CD6C75">
      <w:pPr>
        <w:jc w:val="both"/>
      </w:pPr>
      <w:r w:rsidRPr="00017426">
        <w:t xml:space="preserve">Yürütücüye gerekçesinin Komisyonca uygun görülmesi halinde yayın için 12 ay ek süre verilir. </w:t>
      </w:r>
    </w:p>
    <w:p w14:paraId="271DE985" w14:textId="77777777" w:rsidR="003A6744" w:rsidRPr="00017426" w:rsidRDefault="003A6744" w:rsidP="00CD6C75">
      <w:pPr>
        <w:jc w:val="both"/>
      </w:pPr>
      <w:r w:rsidRPr="00017426">
        <w:t>Sonuçlarından patent ya da alanında uluslararası veya ulusal yarışmalarda ilk 3 içerisine girerek ödül alınmış projeler için yayın gerçekleştirilmesi şartı aranmaz.</w:t>
      </w:r>
    </w:p>
    <w:p w14:paraId="419469C9" w14:textId="77777777" w:rsidR="003A6744" w:rsidRDefault="003A6744" w:rsidP="00CD6C75">
      <w:pPr>
        <w:jc w:val="both"/>
      </w:pPr>
      <w:r w:rsidRPr="00017426">
        <w:t>Bu çağrıda yer almayan hususlarda ilgili Yönetmelik, Yönerge ve ilgili yılın BAP Uygulama Esaslarında Güdümlü Projeler için belirlenen ilkeler uygulanır. İlgili Yönerge ve Uygulama Esaslarında yer almayan hususlarda ise Yönetmelik hükümleri dikkate alınarak BAP Komisyonu tarafından karar verilir.</w:t>
      </w:r>
    </w:p>
    <w:p w14:paraId="1975A422" w14:textId="77777777" w:rsidR="00017426" w:rsidRPr="003A6744" w:rsidRDefault="00017426" w:rsidP="00CD6C75">
      <w:pPr>
        <w:jc w:val="both"/>
      </w:pPr>
    </w:p>
    <w:p w14:paraId="29CE76A1" w14:textId="77777777" w:rsidR="001C33E4" w:rsidRDefault="001C33E4"/>
    <w:sectPr w:rsidR="001C3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5330E"/>
    <w:multiLevelType w:val="multilevel"/>
    <w:tmpl w:val="95F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61C89"/>
    <w:multiLevelType w:val="multilevel"/>
    <w:tmpl w:val="AECA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B72D28"/>
    <w:multiLevelType w:val="hybridMultilevel"/>
    <w:tmpl w:val="A3C2F2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7FA704B2"/>
    <w:multiLevelType w:val="multilevel"/>
    <w:tmpl w:val="C030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E4"/>
    <w:rsid w:val="00017426"/>
    <w:rsid w:val="001C33E4"/>
    <w:rsid w:val="001E7B05"/>
    <w:rsid w:val="003A6744"/>
    <w:rsid w:val="00714C27"/>
    <w:rsid w:val="008371AE"/>
    <w:rsid w:val="00BE6187"/>
    <w:rsid w:val="00CD6C75"/>
    <w:rsid w:val="00D56A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8AE2"/>
  <w15:docId w15:val="{C88A02FA-5302-48CE-8589-48ACD8CD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C3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C3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C33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C33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C33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C33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33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33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33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33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C33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C33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C33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C33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C33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33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33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33E4"/>
    <w:rPr>
      <w:rFonts w:eastAsiaTheme="majorEastAsia" w:cstheme="majorBidi"/>
      <w:color w:val="272727" w:themeColor="text1" w:themeTint="D8"/>
    </w:rPr>
  </w:style>
  <w:style w:type="paragraph" w:styleId="KonuBal">
    <w:name w:val="Title"/>
    <w:basedOn w:val="Normal"/>
    <w:next w:val="Normal"/>
    <w:link w:val="KonuBalChar"/>
    <w:uiPriority w:val="10"/>
    <w:qFormat/>
    <w:rsid w:val="001C3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33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33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33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33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33E4"/>
    <w:rPr>
      <w:i/>
      <w:iCs/>
      <w:color w:val="404040" w:themeColor="text1" w:themeTint="BF"/>
    </w:rPr>
  </w:style>
  <w:style w:type="paragraph" w:styleId="ListeParagraf">
    <w:name w:val="List Paragraph"/>
    <w:basedOn w:val="Normal"/>
    <w:uiPriority w:val="34"/>
    <w:qFormat/>
    <w:rsid w:val="001C33E4"/>
    <w:pPr>
      <w:ind w:left="720"/>
      <w:contextualSpacing/>
    </w:pPr>
  </w:style>
  <w:style w:type="character" w:styleId="GlVurgulama">
    <w:name w:val="Intense Emphasis"/>
    <w:basedOn w:val="VarsaylanParagrafYazTipi"/>
    <w:uiPriority w:val="21"/>
    <w:qFormat/>
    <w:rsid w:val="001C33E4"/>
    <w:rPr>
      <w:i/>
      <w:iCs/>
      <w:color w:val="2F5496" w:themeColor="accent1" w:themeShade="BF"/>
    </w:rPr>
  </w:style>
  <w:style w:type="paragraph" w:styleId="GlAlnt">
    <w:name w:val="Intense Quote"/>
    <w:basedOn w:val="Normal"/>
    <w:next w:val="Normal"/>
    <w:link w:val="GlAlntChar"/>
    <w:uiPriority w:val="30"/>
    <w:qFormat/>
    <w:rsid w:val="001C3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C33E4"/>
    <w:rPr>
      <w:i/>
      <w:iCs/>
      <w:color w:val="2F5496" w:themeColor="accent1" w:themeShade="BF"/>
    </w:rPr>
  </w:style>
  <w:style w:type="character" w:styleId="GlBavuru">
    <w:name w:val="Intense Reference"/>
    <w:basedOn w:val="VarsaylanParagrafYazTipi"/>
    <w:uiPriority w:val="32"/>
    <w:qFormat/>
    <w:rsid w:val="001C33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713</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Delibaş</dc:creator>
  <cp:keywords/>
  <dc:description/>
  <cp:lastModifiedBy>Casper</cp:lastModifiedBy>
  <cp:revision>5</cp:revision>
  <dcterms:created xsi:type="dcterms:W3CDTF">2026-01-05T15:10:00Z</dcterms:created>
  <dcterms:modified xsi:type="dcterms:W3CDTF">2026-01-09T07:09:00Z</dcterms:modified>
</cp:coreProperties>
</file>