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5106F6" w:rsidRPr="00AE28E8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5106F6" w:rsidRPr="00AE28E8" w:rsidRDefault="005106F6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1727D4" wp14:editId="635F9C5F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5106F6" w:rsidRPr="00AE28E8" w:rsidRDefault="005106F6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BA55AB" w:rsidRDefault="00BA55AB" w:rsidP="00BA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5106F6" w:rsidRPr="00AE28E8" w:rsidRDefault="00FB76D8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4"/>
                <w:szCs w:val="24"/>
              </w:rPr>
              <w:t>TAŞINIR KAYIT</w:t>
            </w:r>
          </w:p>
          <w:p w:rsidR="005106F6" w:rsidRPr="00AE28E8" w:rsidRDefault="005106F6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28E8"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5106F6" w:rsidRPr="00AE28E8" w:rsidTr="005B2536">
        <w:trPr>
          <w:trHeight w:val="420"/>
        </w:trPr>
        <w:tc>
          <w:tcPr>
            <w:tcW w:w="902" w:type="pct"/>
            <w:vMerge/>
          </w:tcPr>
          <w:p w:rsidR="005106F6" w:rsidRPr="00AE28E8" w:rsidRDefault="005106F6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5106F6" w:rsidRPr="00AE28E8" w:rsidRDefault="005106F6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5106F6" w:rsidRPr="00AE28E8" w:rsidRDefault="00B56F7C" w:rsidP="00B56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.…/…./</w:t>
            </w:r>
            <w:r w:rsidR="00BA55A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106F6" w:rsidRPr="00AE28E8" w:rsidTr="005B2536">
        <w:trPr>
          <w:trHeight w:val="420"/>
        </w:trPr>
        <w:tc>
          <w:tcPr>
            <w:tcW w:w="902" w:type="pct"/>
            <w:vMerge/>
          </w:tcPr>
          <w:p w:rsidR="005106F6" w:rsidRPr="00AE28E8" w:rsidRDefault="005106F6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5106F6" w:rsidRPr="00AE28E8" w:rsidRDefault="005106F6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F6" w:rsidRPr="00AE28E8" w:rsidTr="005B2536">
        <w:trPr>
          <w:trHeight w:val="420"/>
        </w:trPr>
        <w:tc>
          <w:tcPr>
            <w:tcW w:w="902" w:type="pct"/>
            <w:vMerge/>
          </w:tcPr>
          <w:p w:rsidR="005106F6" w:rsidRPr="00AE28E8" w:rsidRDefault="005106F6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5106F6" w:rsidRPr="00AE28E8" w:rsidRDefault="005106F6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28E8"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5106F6" w:rsidRPr="00AE28E8" w:rsidRDefault="0051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Pr="00AE28E8" w:rsidRDefault="005B2536" w:rsidP="005B25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AE28E8" w:rsidTr="00EA4DCB">
        <w:tc>
          <w:tcPr>
            <w:tcW w:w="5000" w:type="pct"/>
          </w:tcPr>
          <w:p w:rsidR="002804AB" w:rsidRPr="00AE28E8" w:rsidRDefault="001C7A9F" w:rsidP="00B5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sz w:val="24"/>
                <w:szCs w:val="24"/>
              </w:rPr>
              <w:t xml:space="preserve">GÖREVİN ADI: </w:t>
            </w:r>
            <w:r w:rsidR="00D007BD" w:rsidRPr="00AE28E8">
              <w:rPr>
                <w:rFonts w:ascii="Times New Roman" w:hAnsi="Times New Roman" w:cs="Times New Roman"/>
                <w:sz w:val="24"/>
                <w:szCs w:val="24"/>
              </w:rPr>
              <w:t>Taşınır Kayıt Yetkililiği</w:t>
            </w:r>
            <w:bookmarkStart w:id="0" w:name="_GoBack"/>
            <w:bookmarkEnd w:id="0"/>
          </w:p>
          <w:p w:rsidR="001C7A9F" w:rsidRPr="00AE28E8" w:rsidRDefault="001C7A9F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9F" w:rsidRPr="00AE28E8" w:rsidRDefault="001C7A9F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sz w:val="24"/>
                <w:szCs w:val="24"/>
              </w:rPr>
              <w:t>GÖREV YETKİ VE SORUMLULUKLARI</w:t>
            </w:r>
          </w:p>
          <w:p w:rsidR="009F4316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Harcama birimince edinilen taşınırlardan muayene ve kabulü yapılanları cins ve niteliklerine göre sayarak, tartarak, ölçerek teslim almak, doğrudan tüketilmeyen ve kullanıma verilmeyen taşınırları sorumluluğundaki ambarlarda muhafaza</w:t>
            </w:r>
            <w:r w:rsidRPr="00880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etmek.</w:t>
            </w:r>
          </w:p>
          <w:p w:rsidR="009F4316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Muayene</w:t>
            </w:r>
            <w:r w:rsidRPr="008804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8804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r w:rsidRPr="008804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işlemi</w:t>
            </w:r>
            <w:r w:rsidRPr="008804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hemen</w:t>
            </w:r>
            <w:r w:rsidRPr="008804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yapılamayan</w:t>
            </w:r>
            <w:r w:rsidRPr="008804E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taşınırları</w:t>
            </w:r>
            <w:r w:rsidRPr="008804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8804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ederek</w:t>
            </w:r>
            <w:r w:rsidRPr="008804E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r w:rsidRPr="008804E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almak,</w:t>
            </w:r>
            <w:r w:rsidRPr="008804E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özellikleri nedeniyle kesin kabulleri belli bir dönem kullanıldıktan sonra yapılabilen sarf malzemeleri hariç olmak üzere, bunların kesin kabulü yapılmadan kullanıma verilmesini</w:t>
            </w:r>
            <w:r w:rsidRPr="00880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önlemek.</w:t>
            </w:r>
          </w:p>
          <w:p w:rsidR="009F4316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Tüketime veya kullanıma verilmesi uygun görülen taşınırları ilgililere teslim</w:t>
            </w:r>
            <w:r w:rsidRPr="00880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etmek.</w:t>
            </w:r>
          </w:p>
          <w:p w:rsidR="00FE741B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Taşınırların yangına, ıslanmaya, bozulmaya, çalınmaya ve benzeri tehlikelere karşı korunması için gerekli tedbirleri almak ve alınmasını</w:t>
            </w:r>
            <w:r w:rsidRPr="00880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sağlamak.</w:t>
            </w:r>
          </w:p>
          <w:p w:rsidR="008F1915" w:rsidRPr="008804E2" w:rsidRDefault="008E74DE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Ambarda çalınma veya olağanüstü nedenlerden dolayı meydana gelen azalmaları harcama yetkilisine</w:t>
            </w:r>
            <w:r w:rsidRPr="00880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bildirmek.</w:t>
            </w:r>
          </w:p>
          <w:p w:rsidR="008E74DE" w:rsidRPr="008804E2" w:rsidRDefault="008E74DE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Ambar sayımını ve stok kontrolünü yapmak, harcama yetkilisince belirlenen asgari stok seviyesinin altına düşen taşınırları harcama yetkilisine</w:t>
            </w:r>
            <w:r w:rsidRPr="00880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bildirmek.</w:t>
            </w:r>
          </w:p>
          <w:p w:rsidR="009F4316" w:rsidRPr="008804E2" w:rsidRDefault="008E74DE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Kullanımda</w:t>
            </w:r>
            <w:r w:rsidRPr="008804E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bulunan</w:t>
            </w:r>
            <w:r w:rsidRPr="008804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dayanıklı</w:t>
            </w:r>
            <w:r w:rsidRPr="008804E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taşınırları</w:t>
            </w:r>
            <w:r w:rsidRPr="008804E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bulundukları</w:t>
            </w:r>
            <w:r w:rsidRPr="008804E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yerde</w:t>
            </w:r>
            <w:r w:rsidRPr="008804E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8804E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  <w:r w:rsidRPr="008804E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sayımlarını</w:t>
            </w:r>
            <w:r w:rsidRPr="008804E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yapmak ve yaptırmak.</w:t>
            </w:r>
          </w:p>
          <w:p w:rsidR="008F1915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Harcama biriminin malzeme ihtiyaç planlamasını amirlerinin talimatları doğrultusunda yapmak.</w:t>
            </w:r>
          </w:p>
          <w:p w:rsidR="009F4316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Kayıtlarını tuttuğu taşınırların yönetim hesabını hazırlamak ve harcama yetkilisine sunulmak üzere taşınır kontrol yetkilisine teslim</w:t>
            </w:r>
            <w:r w:rsidRPr="008804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etmek.</w:t>
            </w:r>
          </w:p>
          <w:p w:rsidR="009F4316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Ambarlarında kasıt, kusur, ihmal veya tedbirsizlikleri nedeniyle meydana gelen kayıp ve noksanlıklardan sorumlu</w:t>
            </w:r>
            <w:r w:rsidRPr="00880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olmak.</w:t>
            </w:r>
          </w:p>
          <w:p w:rsidR="008804E2" w:rsidRPr="008804E2" w:rsidRDefault="009F4316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Ambarlarını devir ve teslim etmeden görevinden</w:t>
            </w:r>
            <w:r w:rsidRPr="008804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04E2" w:rsidRPr="008804E2">
              <w:rPr>
                <w:rFonts w:ascii="Times New Roman" w:hAnsi="Times New Roman" w:cs="Times New Roman"/>
                <w:sz w:val="24"/>
                <w:szCs w:val="24"/>
              </w:rPr>
              <w:t>ayrılmamak.</w:t>
            </w:r>
          </w:p>
          <w:p w:rsidR="00D5290C" w:rsidRPr="008804E2" w:rsidRDefault="008804E2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 w:rsidR="009F4316" w:rsidRPr="008804E2">
              <w:rPr>
                <w:rFonts w:ascii="Times New Roman" w:hAnsi="Times New Roman" w:cs="Times New Roman"/>
                <w:sz w:val="24"/>
                <w:szCs w:val="24"/>
              </w:rPr>
              <w:t>görev değişikliğinde tüm belgeleri tutanakla yeni görevliye eksiksiz teslim etmek.</w:t>
            </w:r>
          </w:p>
          <w:p w:rsidR="009F4316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Taşınırların giriş ve çıkış kayıtlarını yapmak, bunlara ilişkin belge ve cetvelleri düzenlemek.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 iş ve işlemleri neticesinde oluşan fiş, tutanak vb. evrakların düzenlenmesini, kayıt altına alınmasını ve dosyalanmasını sağlamak.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İstek birim yetkililerine ilişkin iş ve işlemleri yapmak, istek birim yetkililerinin güncel olmasını sağlamak değişiklik durumunda gerekli iş ve işlemleri yapmak, istek birim yetkililerinin otomasyon sistemlerini kullanmada yardımcı olmak.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Yerleşim yeri bilgilerini kullanılan otomasyon(TKYS) sistemlerine tanımlamak. 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Dönemsel tüketim çıkış raporlarını(aylık, üçer aylık ve yıllık) hazırlamak ve Strateji Geliştirme Daire Başkanlığına bildirmek.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Ambarda olsun veya olmasın her türlü mal ve malzeme talebine ilişkin istekleri karşılamak, ambarında olmayan veya eksilen mal ve malzemeler için malzeme istek formunu bizzat düzenlemek, satın alınması için </w:t>
            </w:r>
            <w:r w:rsidR="00535D73">
              <w:rPr>
                <w:rFonts w:ascii="Times New Roman" w:hAnsi="Times New Roman" w:cs="Times New Roman"/>
                <w:sz w:val="24"/>
                <w:szCs w:val="24"/>
              </w:rPr>
              <w:t>Dekanlığa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 teslim etmek veya üniversitemiz ilgili birimlerinden talepte bulunmak.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Taşınırlara sicil numarası vermek, verilen sicil numaralarını yazma, kazıma, damga vurma veya etiket yapıştırma suretiyle taşınırın üzerinde kalıcı olacak şekilde belirtmek.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Üzerlerinde marka model yer almayan fakat çeşitli </w:t>
            </w:r>
            <w:r w:rsidR="008804E2" w:rsidRPr="008804E2">
              <w:rPr>
                <w:rFonts w:ascii="Times New Roman" w:hAnsi="Times New Roman" w:cs="Times New Roman"/>
                <w:sz w:val="24"/>
                <w:szCs w:val="24"/>
              </w:rPr>
              <w:t>yöntemlerle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 hangi marka ve/veya model olduğu tespit edilen Dayanıklı taşınırların ayırt edilebilmesi için üzerlerine marka ve/veya model bilgisini yazma, kazıma, damga vurma, hazır şablon ile boya ile belirtme şeklinde, taşınırın üzerinde kalıcı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olacak şekilde belirtmek.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 malzemelere ilişkin kullanıcı kılavuzlarını muhafaza etmek, istenildiğinde ilgili kişilere vermek.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Taşınırları gerekli fişler düzenleyerek tüketime veya kullanıma vermek.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Projelerden alınan taşınırların kayıt ve işlemlerini yapmak.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Hibe yoluyla gelen bedelsiz taşınırların tespitinin yapılarak kayıtlara alınması için Değer Tespit Komisyonuna bildirmek.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 sisteminde kayıtlı bulunan demirbaş malzemelerinin barkotlama işlemini yapmak.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Laboratuvar, koridor, sınıf gibi ortak kullanım alanlarındaki dayanıklı taşınırlar için Dayanıklı Taşınırlar listesini oluşturmak.</w:t>
            </w:r>
          </w:p>
          <w:p w:rsidR="00D5290C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Demirbaş malzemelerinin kaybolma, çalınma, yıpranma ve hurdaya ayrılması durumunda mevzuat usullerine uygun olarak kayıtlardan düşme işlemlerini yapmak.</w:t>
            </w:r>
          </w:p>
          <w:p w:rsidR="009F4316" w:rsidRPr="008804E2" w:rsidRDefault="00D5290C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Dayanıklı taşınırların olağan ve olağan dışı yıpranmaları veya deforme olmaları neticesinde kullanımlarının sağlanması için bakım ve onarımlarının yapılmasını sağlamak, gerekli iş ve işlemleri yapmak.</w:t>
            </w:r>
            <w:r w:rsidR="008804E2"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 Satın alma yolu i</w:t>
            </w:r>
            <w:r w:rsidR="00606C03">
              <w:rPr>
                <w:rFonts w:ascii="Times New Roman" w:hAnsi="Times New Roman" w:cs="Times New Roman"/>
                <w:sz w:val="24"/>
                <w:szCs w:val="24"/>
              </w:rPr>
              <w:t>le bakım onarım yapılacakları tu</w:t>
            </w:r>
            <w:r w:rsidR="008804E2"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tanak ile </w:t>
            </w:r>
            <w:r w:rsidR="00606C03">
              <w:rPr>
                <w:rFonts w:ascii="Times New Roman" w:hAnsi="Times New Roman" w:cs="Times New Roman"/>
                <w:sz w:val="24"/>
                <w:szCs w:val="24"/>
              </w:rPr>
              <w:t>Dekanlığa</w:t>
            </w:r>
            <w:r w:rsidR="00606C03"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E2" w:rsidRPr="008804E2">
              <w:rPr>
                <w:rFonts w:ascii="Times New Roman" w:hAnsi="Times New Roman" w:cs="Times New Roman"/>
                <w:sz w:val="24"/>
                <w:szCs w:val="24"/>
              </w:rPr>
              <w:t>bildirmek.</w:t>
            </w:r>
          </w:p>
          <w:p w:rsidR="008E74DE" w:rsidRPr="008804E2" w:rsidRDefault="008F1915" w:rsidP="00C2403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>Taşınırların yılsonu sayım işlemlerini yapmak</w:t>
            </w:r>
            <w:r w:rsidR="009F4316" w:rsidRPr="00880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 sayım cetvellerini</w:t>
            </w:r>
            <w:r w:rsidR="009F4316" w:rsidRPr="008804E2">
              <w:rPr>
                <w:rFonts w:ascii="Times New Roman" w:hAnsi="Times New Roman" w:cs="Times New Roman"/>
                <w:sz w:val="24"/>
                <w:szCs w:val="24"/>
              </w:rPr>
              <w:t>, son TİF(VİF) raporunu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316"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vb. evrakları </w:t>
            </w:r>
            <w:r w:rsidRPr="008804E2">
              <w:rPr>
                <w:rFonts w:ascii="Times New Roman" w:hAnsi="Times New Roman" w:cs="Times New Roman"/>
                <w:sz w:val="24"/>
                <w:szCs w:val="24"/>
              </w:rPr>
              <w:t xml:space="preserve">düzenlemek ve ilgili birimlere iletmek. </w:t>
            </w:r>
          </w:p>
          <w:p w:rsidR="00626BA0" w:rsidRDefault="00626BA0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7C" w:rsidRDefault="00B56F7C" w:rsidP="00B5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B56F7C" w:rsidRDefault="00B56F7C" w:rsidP="00B5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kalite tetkikleri ve dış denetimler kapsamında görev yaptığı birime düşen görevlerin gerçekleştirilmesini sağlamak.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prosedürlerinin (içeriğinde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talimat ve formların) değişikliği ile ilgili/yeni doküman oluşturmakla ilgili talepte bulunmak, bu dokümanların güncelliğini korumasını sağlamak. 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prosedürlerine,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B56F7C" w:rsidRDefault="00B56F7C" w:rsidP="00B56F7C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626BA0" w:rsidRDefault="00626BA0" w:rsidP="0062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A0" w:rsidRDefault="00626BA0" w:rsidP="00626BA0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A0" w:rsidRDefault="00626BA0" w:rsidP="00626BA0"/>
          <w:p w:rsidR="008E74DE" w:rsidRPr="00AE28E8" w:rsidRDefault="00E972D2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E8">
              <w:rPr>
                <w:rFonts w:ascii="Times New Roman" w:hAnsi="Times New Roman" w:cs="Times New Roman"/>
                <w:sz w:val="24"/>
                <w:szCs w:val="24"/>
              </w:rPr>
              <w:t>BİLGİ KAYNAKLARI</w:t>
            </w:r>
          </w:p>
          <w:p w:rsidR="008E74DE" w:rsidRPr="001720C3" w:rsidRDefault="008E74DE" w:rsidP="00C2403B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720C3">
              <w:rPr>
                <w:rFonts w:ascii="Times New Roman" w:hAnsi="Times New Roman" w:cs="Times New Roman"/>
                <w:lang w:eastAsia="tr-TR"/>
              </w:rPr>
              <w:t>Taşınır Mal Yönetmeliği</w:t>
            </w:r>
          </w:p>
          <w:p w:rsidR="002D223C" w:rsidRPr="001720C3" w:rsidRDefault="002D223C" w:rsidP="00C2403B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720C3">
              <w:rPr>
                <w:rFonts w:ascii="Times New Roman" w:hAnsi="Times New Roman" w:cs="Times New Roman"/>
                <w:lang w:eastAsia="tr-TR"/>
              </w:rPr>
              <w:t>5018 Sayılı Kamu Mali Yönetimi ve Kontrol Kanunu</w:t>
            </w:r>
          </w:p>
          <w:p w:rsidR="008E74DE" w:rsidRPr="001720C3" w:rsidRDefault="008E74DE" w:rsidP="00C2403B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720C3">
              <w:rPr>
                <w:rFonts w:ascii="Times New Roman" w:hAnsi="Times New Roman" w:cs="Times New Roman"/>
                <w:lang w:eastAsia="tr-TR"/>
              </w:rPr>
              <w:t>Genel Yönetim Muhasebe Yönetmeliği</w:t>
            </w:r>
          </w:p>
          <w:p w:rsidR="001720C3" w:rsidRPr="001720C3" w:rsidRDefault="000E6F6C" w:rsidP="00C2403B">
            <w:pPr>
              <w:pStyle w:val="ListeParagraf"/>
              <w:numPr>
                <w:ilvl w:val="0"/>
                <w:numId w:val="29"/>
              </w:numPr>
              <w:jc w:val="both"/>
              <w:rPr>
                <w:rStyle w:val="Kpr"/>
                <w:rFonts w:ascii="Times New Roman" w:hAnsi="Times New Roman" w:cs="Times New Roman"/>
                <w:color w:val="auto"/>
                <w:u w:val="none"/>
                <w:lang w:eastAsia="tr-TR"/>
              </w:rPr>
            </w:pPr>
            <w:hyperlink r:id="rId9" w:history="1">
              <w:r w:rsidR="00F70B8E" w:rsidRPr="001720C3">
                <w:rPr>
                  <w:rStyle w:val="Kpr"/>
                  <w:rFonts w:ascii="Times New Roman" w:hAnsi="Times New Roman" w:cs="Times New Roman"/>
                  <w:color w:val="auto"/>
                  <w:szCs w:val="24"/>
                  <w:u w:val="none"/>
                  <w:bdr w:val="none" w:sz="0" w:space="0" w:color="auto" w:frame="1"/>
                </w:rPr>
                <w:t>Kamu Zararının Tahsiline İlişkin Usul ve Esaslar Hakkında Yönetmelik</w:t>
              </w:r>
            </w:hyperlink>
          </w:p>
          <w:p w:rsidR="001720C3" w:rsidRPr="001720C3" w:rsidRDefault="001720C3" w:rsidP="00C2403B">
            <w:pPr>
              <w:pStyle w:val="ListeParagraf"/>
              <w:numPr>
                <w:ilvl w:val="0"/>
                <w:numId w:val="29"/>
              </w:numPr>
              <w:jc w:val="both"/>
              <w:rPr>
                <w:rStyle w:val="Kpr"/>
                <w:rFonts w:ascii="Times New Roman" w:hAnsi="Times New Roman" w:cs="Times New Roman"/>
                <w:color w:val="auto"/>
                <w:u w:val="none"/>
                <w:lang w:eastAsia="tr-TR"/>
              </w:rPr>
            </w:pPr>
            <w:r w:rsidRPr="001720C3">
              <w:rPr>
                <w:rFonts w:ascii="Times New Roman" w:hAnsi="Times New Roman" w:cs="Times New Roman"/>
              </w:rPr>
              <w:t>Devlete ve Kişilere Memurlarca Verilen Zararların Nevi ve Miktarlarının Tespiti, Takibi, Amirlerinin Sorumlulukları, Yapılacak Diğer İşlemler Hakkında Yönetmelik</w:t>
            </w:r>
          </w:p>
          <w:p w:rsidR="005B4514" w:rsidRPr="001720C3" w:rsidRDefault="005B4514" w:rsidP="00C2403B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720C3">
              <w:rPr>
                <w:rFonts w:ascii="Times New Roman" w:hAnsi="Times New Roman" w:cs="Times New Roman"/>
                <w:lang w:eastAsia="tr-TR"/>
              </w:rPr>
              <w:t xml:space="preserve">Taşınır iş ve işlemlerine ilişkin Maliye Bakanlığınca </w:t>
            </w:r>
            <w:r w:rsidR="00AE28E8" w:rsidRPr="001720C3">
              <w:rPr>
                <w:rFonts w:ascii="Times New Roman" w:hAnsi="Times New Roman" w:cs="Times New Roman"/>
                <w:lang w:eastAsia="tr-TR"/>
              </w:rPr>
              <w:t xml:space="preserve">TKYS sistemi üzerinde </w:t>
            </w:r>
            <w:r w:rsidRPr="001720C3">
              <w:rPr>
                <w:rFonts w:ascii="Times New Roman" w:hAnsi="Times New Roman" w:cs="Times New Roman"/>
                <w:lang w:eastAsia="tr-TR"/>
              </w:rPr>
              <w:t>yayımlanan kılavuzlar.</w:t>
            </w:r>
          </w:p>
          <w:p w:rsidR="00F75B36" w:rsidRPr="00AE28E8" w:rsidRDefault="005F1EDD" w:rsidP="00626BA0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A0">
              <w:rPr>
                <w:rFonts w:ascii="Times New Roman" w:hAnsi="Times New Roman" w:cs="Times New Roman"/>
                <w:lang w:eastAsia="tr-TR"/>
              </w:rPr>
              <w:t>Diğer ilgili mevzuat.</w:t>
            </w:r>
          </w:p>
        </w:tc>
      </w:tr>
    </w:tbl>
    <w:p w:rsidR="00DF1D94" w:rsidRPr="00AE28E8" w:rsidRDefault="00DF1D94" w:rsidP="004E25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1D94" w:rsidRPr="00AE28E8" w:rsidSect="005B253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6C" w:rsidRDefault="000E6F6C" w:rsidP="003F6A76">
      <w:pPr>
        <w:spacing w:after="0" w:line="240" w:lineRule="auto"/>
      </w:pPr>
      <w:r>
        <w:separator/>
      </w:r>
    </w:p>
  </w:endnote>
  <w:endnote w:type="continuationSeparator" w:id="0">
    <w:p w:rsidR="000E6F6C" w:rsidRDefault="000E6F6C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F17DDB">
      <w:trPr>
        <w:trHeight w:val="705"/>
      </w:trPr>
      <w:tc>
        <w:tcPr>
          <w:tcW w:w="2500" w:type="pct"/>
        </w:tcPr>
        <w:p w:rsidR="00F17DDB" w:rsidRDefault="00F17DDB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F6A76" w:rsidRPr="00F17DDB" w:rsidRDefault="00F17DDB" w:rsidP="00F17DDB">
          <w:pPr>
            <w:tabs>
              <w:tab w:val="left" w:pos="331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6C" w:rsidRDefault="000E6F6C" w:rsidP="003F6A76">
      <w:pPr>
        <w:spacing w:after="0" w:line="240" w:lineRule="auto"/>
      </w:pPr>
      <w:r>
        <w:separator/>
      </w:r>
    </w:p>
  </w:footnote>
  <w:footnote w:type="continuationSeparator" w:id="0">
    <w:p w:rsidR="000E6F6C" w:rsidRDefault="000E6F6C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2A0A"/>
    <w:multiLevelType w:val="hybridMultilevel"/>
    <w:tmpl w:val="FDCAF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1186"/>
    <w:multiLevelType w:val="hybridMultilevel"/>
    <w:tmpl w:val="F5DE086A"/>
    <w:lvl w:ilvl="0" w:tplc="0E3EE428">
      <w:numFmt w:val="bullet"/>
      <w:lvlText w:val=""/>
      <w:lvlJc w:val="left"/>
      <w:pPr>
        <w:ind w:left="832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68194A">
      <w:numFmt w:val="bullet"/>
      <w:lvlText w:val="•"/>
      <w:lvlJc w:val="left"/>
      <w:pPr>
        <w:ind w:left="1767" w:hanging="286"/>
      </w:pPr>
      <w:rPr>
        <w:lang w:val="tr-TR" w:eastAsia="en-US" w:bidi="ar-SA"/>
      </w:rPr>
    </w:lvl>
    <w:lvl w:ilvl="2" w:tplc="A9A6B776">
      <w:numFmt w:val="bullet"/>
      <w:lvlText w:val="•"/>
      <w:lvlJc w:val="left"/>
      <w:pPr>
        <w:ind w:left="2694" w:hanging="286"/>
      </w:pPr>
      <w:rPr>
        <w:lang w:val="tr-TR" w:eastAsia="en-US" w:bidi="ar-SA"/>
      </w:rPr>
    </w:lvl>
    <w:lvl w:ilvl="3" w:tplc="C622A324">
      <w:numFmt w:val="bullet"/>
      <w:lvlText w:val="•"/>
      <w:lvlJc w:val="left"/>
      <w:pPr>
        <w:ind w:left="3621" w:hanging="286"/>
      </w:pPr>
      <w:rPr>
        <w:lang w:val="tr-TR" w:eastAsia="en-US" w:bidi="ar-SA"/>
      </w:rPr>
    </w:lvl>
    <w:lvl w:ilvl="4" w:tplc="12661768">
      <w:numFmt w:val="bullet"/>
      <w:lvlText w:val="•"/>
      <w:lvlJc w:val="left"/>
      <w:pPr>
        <w:ind w:left="4548" w:hanging="286"/>
      </w:pPr>
      <w:rPr>
        <w:lang w:val="tr-TR" w:eastAsia="en-US" w:bidi="ar-SA"/>
      </w:rPr>
    </w:lvl>
    <w:lvl w:ilvl="5" w:tplc="5F546C96">
      <w:numFmt w:val="bullet"/>
      <w:lvlText w:val="•"/>
      <w:lvlJc w:val="left"/>
      <w:pPr>
        <w:ind w:left="5475" w:hanging="286"/>
      </w:pPr>
      <w:rPr>
        <w:lang w:val="tr-TR" w:eastAsia="en-US" w:bidi="ar-SA"/>
      </w:rPr>
    </w:lvl>
    <w:lvl w:ilvl="6" w:tplc="147C46C0">
      <w:numFmt w:val="bullet"/>
      <w:lvlText w:val="•"/>
      <w:lvlJc w:val="left"/>
      <w:pPr>
        <w:ind w:left="6402" w:hanging="286"/>
      </w:pPr>
      <w:rPr>
        <w:lang w:val="tr-TR" w:eastAsia="en-US" w:bidi="ar-SA"/>
      </w:rPr>
    </w:lvl>
    <w:lvl w:ilvl="7" w:tplc="BAC6F15C">
      <w:numFmt w:val="bullet"/>
      <w:lvlText w:val="•"/>
      <w:lvlJc w:val="left"/>
      <w:pPr>
        <w:ind w:left="7329" w:hanging="286"/>
      </w:pPr>
      <w:rPr>
        <w:lang w:val="tr-TR" w:eastAsia="en-US" w:bidi="ar-SA"/>
      </w:rPr>
    </w:lvl>
    <w:lvl w:ilvl="8" w:tplc="F0F0CB88">
      <w:numFmt w:val="bullet"/>
      <w:lvlText w:val="•"/>
      <w:lvlJc w:val="left"/>
      <w:pPr>
        <w:ind w:left="8256" w:hanging="286"/>
      </w:pPr>
      <w:rPr>
        <w:lang w:val="tr-TR" w:eastAsia="en-US" w:bidi="ar-SA"/>
      </w:rPr>
    </w:lvl>
  </w:abstractNum>
  <w:abstractNum w:abstractNumId="4">
    <w:nsid w:val="1CDE1EF5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1D33"/>
    <w:multiLevelType w:val="hybridMultilevel"/>
    <w:tmpl w:val="E81C34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D128A7"/>
    <w:multiLevelType w:val="hybridMultilevel"/>
    <w:tmpl w:val="706450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DD0"/>
    <w:multiLevelType w:val="multilevel"/>
    <w:tmpl w:val="66CE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3297A"/>
    <w:multiLevelType w:val="hybridMultilevel"/>
    <w:tmpl w:val="F28EE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F3247"/>
    <w:multiLevelType w:val="hybridMultilevel"/>
    <w:tmpl w:val="391A1F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94530"/>
    <w:multiLevelType w:val="hybridMultilevel"/>
    <w:tmpl w:val="C7548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2B0F7C2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C6821"/>
    <w:multiLevelType w:val="hybridMultilevel"/>
    <w:tmpl w:val="1B561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454BF"/>
    <w:multiLevelType w:val="multilevel"/>
    <w:tmpl w:val="DEBE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52181"/>
    <w:multiLevelType w:val="hybridMultilevel"/>
    <w:tmpl w:val="39143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22FB9"/>
    <w:multiLevelType w:val="hybridMultilevel"/>
    <w:tmpl w:val="0068DCC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1D136F8"/>
    <w:multiLevelType w:val="hybridMultilevel"/>
    <w:tmpl w:val="219CE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19"/>
  </w:num>
  <w:num w:numId="5">
    <w:abstractNumId w:val="23"/>
  </w:num>
  <w:num w:numId="6">
    <w:abstractNumId w:val="5"/>
  </w:num>
  <w:num w:numId="7">
    <w:abstractNumId w:val="7"/>
  </w:num>
  <w:num w:numId="8">
    <w:abstractNumId w:val="0"/>
  </w:num>
  <w:num w:numId="9">
    <w:abstractNumId w:val="14"/>
  </w:num>
  <w:num w:numId="10">
    <w:abstractNumId w:val="18"/>
  </w:num>
  <w:num w:numId="11">
    <w:abstractNumId w:val="8"/>
  </w:num>
  <w:num w:numId="12">
    <w:abstractNumId w:val="12"/>
  </w:num>
  <w:num w:numId="13">
    <w:abstractNumId w:val="21"/>
  </w:num>
  <w:num w:numId="14">
    <w:abstractNumId w:val="22"/>
  </w:num>
  <w:num w:numId="15">
    <w:abstractNumId w:val="3"/>
  </w:num>
  <w:num w:numId="16">
    <w:abstractNumId w:val="10"/>
  </w:num>
  <w:num w:numId="17">
    <w:abstractNumId w:val="24"/>
  </w:num>
  <w:num w:numId="18">
    <w:abstractNumId w:val="6"/>
  </w:num>
  <w:num w:numId="19">
    <w:abstractNumId w:val="1"/>
  </w:num>
  <w:num w:numId="20">
    <w:abstractNumId w:val="27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  <w:num w:numId="25">
    <w:abstractNumId w:val="28"/>
  </w:num>
  <w:num w:numId="26">
    <w:abstractNumId w:val="28"/>
  </w:num>
  <w:num w:numId="27">
    <w:abstractNumId w:val="25"/>
  </w:num>
  <w:num w:numId="28">
    <w:abstractNumId w:val="16"/>
  </w:num>
  <w:num w:numId="29">
    <w:abstractNumId w:val="17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142D7"/>
    <w:rsid w:val="000440C1"/>
    <w:rsid w:val="00054D5E"/>
    <w:rsid w:val="000551CD"/>
    <w:rsid w:val="00062B98"/>
    <w:rsid w:val="000A5900"/>
    <w:rsid w:val="000B7A44"/>
    <w:rsid w:val="000E6F6C"/>
    <w:rsid w:val="000F13B2"/>
    <w:rsid w:val="00135857"/>
    <w:rsid w:val="001720C3"/>
    <w:rsid w:val="00180C6E"/>
    <w:rsid w:val="00181B2B"/>
    <w:rsid w:val="001946DC"/>
    <w:rsid w:val="001A4E48"/>
    <w:rsid w:val="001B7FD9"/>
    <w:rsid w:val="001C7A9F"/>
    <w:rsid w:val="001E1DF7"/>
    <w:rsid w:val="00206188"/>
    <w:rsid w:val="002804AB"/>
    <w:rsid w:val="002D223C"/>
    <w:rsid w:val="003241F7"/>
    <w:rsid w:val="00394B70"/>
    <w:rsid w:val="003F1D93"/>
    <w:rsid w:val="003F6A76"/>
    <w:rsid w:val="00400E3D"/>
    <w:rsid w:val="004300FA"/>
    <w:rsid w:val="00455BCA"/>
    <w:rsid w:val="00464E80"/>
    <w:rsid w:val="0047112E"/>
    <w:rsid w:val="00495A9A"/>
    <w:rsid w:val="004D35C2"/>
    <w:rsid w:val="004E125E"/>
    <w:rsid w:val="004E2545"/>
    <w:rsid w:val="00502616"/>
    <w:rsid w:val="005106F6"/>
    <w:rsid w:val="005200B0"/>
    <w:rsid w:val="00520F7A"/>
    <w:rsid w:val="00521C25"/>
    <w:rsid w:val="005357E6"/>
    <w:rsid w:val="00535D73"/>
    <w:rsid w:val="00551C26"/>
    <w:rsid w:val="00552D1B"/>
    <w:rsid w:val="00583431"/>
    <w:rsid w:val="005976B8"/>
    <w:rsid w:val="005B2536"/>
    <w:rsid w:val="005B4514"/>
    <w:rsid w:val="005F1EDD"/>
    <w:rsid w:val="006055EF"/>
    <w:rsid w:val="00606C03"/>
    <w:rsid w:val="00626BA0"/>
    <w:rsid w:val="0063452D"/>
    <w:rsid w:val="0065477D"/>
    <w:rsid w:val="006921A8"/>
    <w:rsid w:val="006A1E10"/>
    <w:rsid w:val="006E3875"/>
    <w:rsid w:val="006F7540"/>
    <w:rsid w:val="0075678E"/>
    <w:rsid w:val="00772E4F"/>
    <w:rsid w:val="007A6935"/>
    <w:rsid w:val="007C34FF"/>
    <w:rsid w:val="007C5D14"/>
    <w:rsid w:val="0080359F"/>
    <w:rsid w:val="00845038"/>
    <w:rsid w:val="0086407D"/>
    <w:rsid w:val="008804E2"/>
    <w:rsid w:val="008947AB"/>
    <w:rsid w:val="008C59F0"/>
    <w:rsid w:val="008E2E4C"/>
    <w:rsid w:val="008E74DE"/>
    <w:rsid w:val="008F1915"/>
    <w:rsid w:val="00915C7D"/>
    <w:rsid w:val="009219B3"/>
    <w:rsid w:val="00971FF9"/>
    <w:rsid w:val="009D57CE"/>
    <w:rsid w:val="009F4316"/>
    <w:rsid w:val="00A0798A"/>
    <w:rsid w:val="00A273C5"/>
    <w:rsid w:val="00A417EB"/>
    <w:rsid w:val="00A821BC"/>
    <w:rsid w:val="00AD5FF9"/>
    <w:rsid w:val="00AE28E8"/>
    <w:rsid w:val="00B32C16"/>
    <w:rsid w:val="00B40EFD"/>
    <w:rsid w:val="00B56F7C"/>
    <w:rsid w:val="00B76145"/>
    <w:rsid w:val="00B86ECA"/>
    <w:rsid w:val="00BA55AB"/>
    <w:rsid w:val="00BA71CE"/>
    <w:rsid w:val="00BC51BF"/>
    <w:rsid w:val="00C01E45"/>
    <w:rsid w:val="00C2403B"/>
    <w:rsid w:val="00C435A1"/>
    <w:rsid w:val="00C90C81"/>
    <w:rsid w:val="00CC4975"/>
    <w:rsid w:val="00D007BD"/>
    <w:rsid w:val="00D07952"/>
    <w:rsid w:val="00D30C8F"/>
    <w:rsid w:val="00D5290C"/>
    <w:rsid w:val="00D5688F"/>
    <w:rsid w:val="00D574B0"/>
    <w:rsid w:val="00DA3B02"/>
    <w:rsid w:val="00DC5A35"/>
    <w:rsid w:val="00DF1D94"/>
    <w:rsid w:val="00E037C9"/>
    <w:rsid w:val="00E3023F"/>
    <w:rsid w:val="00E945CE"/>
    <w:rsid w:val="00E972D2"/>
    <w:rsid w:val="00EA4DCB"/>
    <w:rsid w:val="00EB1B47"/>
    <w:rsid w:val="00EC2DF4"/>
    <w:rsid w:val="00F10285"/>
    <w:rsid w:val="00F17DDB"/>
    <w:rsid w:val="00F5126A"/>
    <w:rsid w:val="00F56772"/>
    <w:rsid w:val="00F70B8E"/>
    <w:rsid w:val="00F73529"/>
    <w:rsid w:val="00F75B36"/>
    <w:rsid w:val="00FA6103"/>
    <w:rsid w:val="00FB76D8"/>
    <w:rsid w:val="00FE351E"/>
    <w:rsid w:val="00FE741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F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5B36"/>
    <w:rPr>
      <w:color w:val="0000FF"/>
      <w:u w:val="single"/>
    </w:rPr>
  </w:style>
  <w:style w:type="paragraph" w:styleId="AralkYok">
    <w:name w:val="No Spacing"/>
    <w:uiPriority w:val="1"/>
    <w:qFormat/>
    <w:rsid w:val="000142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F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5B36"/>
    <w:rPr>
      <w:color w:val="0000FF"/>
      <w:u w:val="single"/>
    </w:rPr>
  </w:style>
  <w:style w:type="paragraph" w:styleId="AralkYok">
    <w:name w:val="No Spacing"/>
    <w:uiPriority w:val="1"/>
    <w:qFormat/>
    <w:rsid w:val="00014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ozok.edu.tr/upload/dosya/rfkr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20</cp:revision>
  <dcterms:created xsi:type="dcterms:W3CDTF">2024-11-17T13:34:00Z</dcterms:created>
  <dcterms:modified xsi:type="dcterms:W3CDTF">2025-03-17T05:39:00Z</dcterms:modified>
</cp:coreProperties>
</file>