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0A4977" w:rsidTr="000A4977">
        <w:trPr>
          <w:trHeight w:val="9589"/>
        </w:trPr>
        <w:tc>
          <w:tcPr>
            <w:tcW w:w="10349" w:type="dxa"/>
          </w:tcPr>
          <w:p w:rsidR="0027710B" w:rsidRPr="000A4977" w:rsidRDefault="00500CB3" w:rsidP="000A49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DEĞİŞİKLİĞİ TALEP EDENİN </w:t>
            </w:r>
            <w:r w:rsidRPr="000A4977">
              <w:rPr>
                <w:rFonts w:ascii="Times New Roman" w:eastAsia="Times New Roman" w:hAnsi="Times New Roman" w:cs="Times New Roman"/>
              </w:rPr>
              <w:t>BİLGİLERİ</w:t>
            </w:r>
            <w:r>
              <w:rPr>
                <w:rFonts w:ascii="Times New Roman" w:eastAsia="Times New Roman" w:hAnsi="Times New Roman" w:cs="Times New Roman"/>
              </w:rPr>
              <w:t xml:space="preserve"> (ÖĞRENCİ/DANIŞMAN/ANABİLİM DALI BAŞKANI)  </w:t>
            </w:r>
            <w:r w:rsidR="0027710B" w:rsidRPr="000A4977">
              <w:rPr>
                <w:rFonts w:ascii="Times New Roman" w:eastAsia="Times New Roman" w:hAnsi="Times New Roman" w:cs="Times New Roman"/>
              </w:rP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579"/>
              <w:gridCol w:w="7540"/>
            </w:tblGrid>
            <w:tr w:rsidR="0027710B" w:rsidRPr="000A4977" w:rsidTr="00500CB3">
              <w:trPr>
                <w:trHeight w:val="70"/>
              </w:trPr>
              <w:tc>
                <w:tcPr>
                  <w:tcW w:w="2579" w:type="dxa"/>
                  <w:vAlign w:val="center"/>
                  <w:hideMark/>
                </w:tcPr>
                <w:p w:rsidR="0027710B" w:rsidRPr="000A4977" w:rsidRDefault="0027710B" w:rsidP="006B725D">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Ad- Soyadı:</w:t>
                  </w:r>
                </w:p>
              </w:tc>
              <w:tc>
                <w:tcPr>
                  <w:tcW w:w="7540" w:type="dxa"/>
                  <w:vAlign w:val="center"/>
                </w:tcPr>
                <w:p w:rsidR="0027710B" w:rsidRPr="000A4977" w:rsidRDefault="0027710B" w:rsidP="006B725D">
                  <w:pPr>
                    <w:spacing w:after="0" w:line="240" w:lineRule="auto"/>
                    <w:ind w:left="142"/>
                    <w:rPr>
                      <w:rFonts w:ascii="Times New Roman" w:eastAsia="Times New Roman" w:hAnsi="Times New Roman" w:cs="Times New Roman"/>
                    </w:rPr>
                  </w:pPr>
                </w:p>
              </w:tc>
            </w:tr>
            <w:tr w:rsidR="0027710B" w:rsidRPr="000A4977" w:rsidTr="00500CB3">
              <w:trPr>
                <w:trHeight w:val="650"/>
              </w:trPr>
              <w:tc>
                <w:tcPr>
                  <w:tcW w:w="2579" w:type="dxa"/>
                  <w:vAlign w:val="center"/>
                  <w:hideMark/>
                </w:tcPr>
                <w:p w:rsidR="0027710B" w:rsidRPr="000A4977" w:rsidRDefault="0027710B" w:rsidP="006B725D">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Gerekçesi:</w:t>
                  </w:r>
                </w:p>
              </w:tc>
              <w:tc>
                <w:tcPr>
                  <w:tcW w:w="7540" w:type="dxa"/>
                  <w:vAlign w:val="center"/>
                </w:tcPr>
                <w:p w:rsidR="0027710B" w:rsidRPr="000A4977" w:rsidRDefault="0027710B" w:rsidP="006B725D">
                  <w:pPr>
                    <w:spacing w:after="0" w:line="240" w:lineRule="auto"/>
                    <w:ind w:left="142"/>
                    <w:rPr>
                      <w:rFonts w:ascii="Times New Roman" w:eastAsia="Times New Roman" w:hAnsi="Times New Roman" w:cs="Times New Roman"/>
                    </w:rPr>
                  </w:pPr>
                </w:p>
              </w:tc>
            </w:tr>
            <w:tr w:rsidR="00204144" w:rsidRPr="000A4977" w:rsidTr="00820950">
              <w:trPr>
                <w:trHeight w:val="650"/>
              </w:trPr>
              <w:tc>
                <w:tcPr>
                  <w:tcW w:w="10119" w:type="dxa"/>
                  <w:gridSpan w:val="2"/>
                  <w:vAlign w:val="center"/>
                </w:tcPr>
                <w:p w:rsidR="00204144" w:rsidRDefault="00500CB3" w:rsidP="006B725D">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Yukarıda yer alan gerekçe</w:t>
                  </w:r>
                  <w:r w:rsidR="00204144">
                    <w:rPr>
                      <w:rFonts w:ascii="Times New Roman" w:eastAsia="Times New Roman" w:hAnsi="Times New Roman" w:cs="Times New Roman"/>
                    </w:rPr>
                    <w:t>den dolayı danışman değişikliği yapılmasını istiyorum.</w:t>
                  </w:r>
                </w:p>
                <w:p w:rsidR="00204144" w:rsidRPr="000A4977" w:rsidRDefault="00204144" w:rsidP="006B725D">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Gereğini arz ederim.</w:t>
                  </w:r>
                </w:p>
              </w:tc>
            </w:tr>
          </w:tbl>
          <w:p w:rsidR="0027710B" w:rsidRDefault="0027710B" w:rsidP="006B725D">
            <w:pPr>
              <w:spacing w:after="0" w:line="240" w:lineRule="auto"/>
              <w:ind w:left="142"/>
              <w:rPr>
                <w:rFonts w:ascii="Times New Roman" w:eastAsia="Times New Roman" w:hAnsi="Times New Roman" w:cs="Times New Roman"/>
              </w:rPr>
            </w:pPr>
          </w:p>
          <w:p w:rsidR="00500CB3" w:rsidRPr="000A4977" w:rsidRDefault="00500CB3" w:rsidP="00500CB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ÖĞRENCİNİN </w:t>
            </w:r>
            <w:r w:rsidRPr="000A4977">
              <w:rPr>
                <w:rFonts w:ascii="Times New Roman" w:eastAsia="Times New Roman" w:hAnsi="Times New Roman" w:cs="Times New Roman"/>
              </w:rPr>
              <w:t>BİLGİLERİ</w:t>
            </w:r>
            <w:r>
              <w:rPr>
                <w:rFonts w:ascii="Times New Roman" w:eastAsia="Times New Roman" w:hAnsi="Times New Roman" w:cs="Times New Roman"/>
              </w:rPr>
              <w:t xml:space="preserve"> (ÖĞRENCİ/DANIŞMAN/ANABİLİM DALI BAŞKANI)  </w:t>
            </w:r>
            <w:r w:rsidRPr="000A4977">
              <w:rPr>
                <w:rFonts w:ascii="Times New Roman" w:eastAsia="Times New Roman" w:hAnsi="Times New Roman" w:cs="Times New Roman"/>
              </w:rP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579"/>
              <w:gridCol w:w="7540"/>
            </w:tblGrid>
            <w:tr w:rsidR="00500CB3" w:rsidRPr="000A4977" w:rsidTr="00D36618">
              <w:trPr>
                <w:trHeight w:val="70"/>
              </w:trPr>
              <w:tc>
                <w:tcPr>
                  <w:tcW w:w="2579" w:type="dxa"/>
                  <w:vAlign w:val="center"/>
                  <w:hideMark/>
                </w:tcPr>
                <w:p w:rsidR="00500CB3" w:rsidRPr="000A4977" w:rsidRDefault="00500CB3" w:rsidP="00D36618">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Ad- Soyadı:</w:t>
                  </w:r>
                </w:p>
              </w:tc>
              <w:tc>
                <w:tcPr>
                  <w:tcW w:w="7540" w:type="dxa"/>
                  <w:vAlign w:val="center"/>
                </w:tcPr>
                <w:p w:rsidR="00500CB3" w:rsidRPr="000A4977" w:rsidRDefault="00500CB3" w:rsidP="00D36618">
                  <w:pPr>
                    <w:spacing w:after="0" w:line="240" w:lineRule="auto"/>
                    <w:ind w:left="142"/>
                    <w:rPr>
                      <w:rFonts w:ascii="Times New Roman" w:eastAsia="Times New Roman" w:hAnsi="Times New Roman" w:cs="Times New Roman"/>
                    </w:rPr>
                  </w:pPr>
                </w:p>
              </w:tc>
            </w:tr>
            <w:tr w:rsidR="00500CB3" w:rsidRPr="000A4977" w:rsidTr="00D36618">
              <w:trPr>
                <w:trHeight w:val="70"/>
              </w:trPr>
              <w:tc>
                <w:tcPr>
                  <w:tcW w:w="2579" w:type="dxa"/>
                  <w:vAlign w:val="center"/>
                  <w:hideMark/>
                </w:tcPr>
                <w:p w:rsidR="00500CB3" w:rsidRPr="000A4977" w:rsidRDefault="00500CB3" w:rsidP="00D36618">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Numarası:</w:t>
                  </w:r>
                </w:p>
              </w:tc>
              <w:tc>
                <w:tcPr>
                  <w:tcW w:w="7540" w:type="dxa"/>
                  <w:vAlign w:val="center"/>
                </w:tcPr>
                <w:p w:rsidR="00500CB3" w:rsidRPr="000A4977" w:rsidRDefault="00500CB3" w:rsidP="00D36618">
                  <w:pPr>
                    <w:spacing w:after="0" w:line="240" w:lineRule="auto"/>
                    <w:ind w:left="142"/>
                    <w:rPr>
                      <w:rFonts w:ascii="Times New Roman" w:eastAsia="Times New Roman" w:hAnsi="Times New Roman" w:cs="Times New Roman"/>
                    </w:rPr>
                  </w:pPr>
                </w:p>
              </w:tc>
            </w:tr>
            <w:tr w:rsidR="00AC5140" w:rsidRPr="000A4977" w:rsidTr="00D36618">
              <w:trPr>
                <w:trHeight w:val="70"/>
              </w:trPr>
              <w:tc>
                <w:tcPr>
                  <w:tcW w:w="2579" w:type="dxa"/>
                  <w:vAlign w:val="center"/>
                </w:tcPr>
                <w:p w:rsidR="00AC5140" w:rsidRPr="000A4977" w:rsidRDefault="00AC5140" w:rsidP="00D3661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Eğitim Dönemi:</w:t>
                  </w:r>
                </w:p>
              </w:tc>
              <w:tc>
                <w:tcPr>
                  <w:tcW w:w="7540" w:type="dxa"/>
                  <w:vAlign w:val="center"/>
                </w:tcPr>
                <w:p w:rsidR="00AC5140" w:rsidRDefault="00AC5140" w:rsidP="00D3661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 xml:space="preserve">Eğitim </w:t>
                  </w:r>
                  <w:proofErr w:type="gramStart"/>
                  <w:r>
                    <w:rPr>
                      <w:rFonts w:ascii="Times New Roman" w:eastAsia="Times New Roman" w:hAnsi="Times New Roman" w:cs="Times New Roman"/>
                    </w:rPr>
                    <w:t>Dönemi :                         Öğrenci</w:t>
                  </w:r>
                  <w:proofErr w:type="gramEnd"/>
                  <w:r>
                    <w:rPr>
                      <w:rFonts w:ascii="Times New Roman" w:eastAsia="Times New Roman" w:hAnsi="Times New Roman" w:cs="Times New Roman"/>
                    </w:rPr>
                    <w:t xml:space="preserve"> Kayıt Tarihi:                        </w:t>
                  </w:r>
                </w:p>
                <w:p w:rsidR="00AC5140" w:rsidRDefault="00AC5140" w:rsidP="00D3661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 xml:space="preserve"> </w:t>
                  </w: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Pr>
                      <w:rFonts w:ascii="Times New Roman" w:eastAsia="Times New Roman" w:hAnsi="Times New Roman" w:cs="Times New Roman"/>
                    </w:rPr>
                    <w:t xml:space="preserve">   Ders Dönemi</w:t>
                  </w:r>
                </w:p>
                <w:p w:rsidR="00AC5140" w:rsidRPr="000A4977" w:rsidRDefault="00AC5140" w:rsidP="00AC5140">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 xml:space="preserve"> </w:t>
                  </w: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Pr>
                      <w:rFonts w:ascii="Times New Roman" w:eastAsia="Times New Roman" w:hAnsi="Times New Roman" w:cs="Times New Roman"/>
                    </w:rPr>
                    <w:t xml:space="preserve">   Tez Dönemi</w:t>
                  </w:r>
                  <w:r w:rsidR="00294018">
                    <w:rPr>
                      <w:rFonts w:ascii="Times New Roman" w:eastAsia="Times New Roman" w:hAnsi="Times New Roman" w:cs="Times New Roman"/>
                    </w:rPr>
                    <w:t xml:space="preserve"> (Tez Önerisi Yönetim Kurulundan Geçmiş İse)</w:t>
                  </w:r>
                </w:p>
              </w:tc>
            </w:tr>
            <w:tr w:rsidR="00500CB3" w:rsidRPr="000A4977" w:rsidTr="00D36618">
              <w:trPr>
                <w:trHeight w:val="70"/>
              </w:trPr>
              <w:tc>
                <w:tcPr>
                  <w:tcW w:w="2579" w:type="dxa"/>
                  <w:vAlign w:val="center"/>
                  <w:hideMark/>
                </w:tcPr>
                <w:p w:rsidR="00500CB3" w:rsidRPr="000A4977" w:rsidRDefault="00500CB3" w:rsidP="00D36618">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Anabilim Dalı:</w:t>
                  </w:r>
                </w:p>
              </w:tc>
              <w:tc>
                <w:tcPr>
                  <w:tcW w:w="7540" w:type="dxa"/>
                  <w:vAlign w:val="center"/>
                </w:tcPr>
                <w:p w:rsidR="00500CB3" w:rsidRPr="000A4977" w:rsidRDefault="00500CB3" w:rsidP="00D36618">
                  <w:pPr>
                    <w:spacing w:after="0" w:line="240" w:lineRule="auto"/>
                    <w:ind w:left="142"/>
                    <w:rPr>
                      <w:rFonts w:ascii="Times New Roman" w:eastAsia="Times New Roman" w:hAnsi="Times New Roman" w:cs="Times New Roman"/>
                    </w:rPr>
                  </w:pPr>
                </w:p>
              </w:tc>
            </w:tr>
            <w:tr w:rsidR="00500CB3" w:rsidRPr="000A4977" w:rsidTr="00D36618">
              <w:trPr>
                <w:trHeight w:val="567"/>
              </w:trPr>
              <w:tc>
                <w:tcPr>
                  <w:tcW w:w="2579" w:type="dxa"/>
                  <w:vAlign w:val="center"/>
                  <w:hideMark/>
                </w:tcPr>
                <w:p w:rsidR="00500CB3" w:rsidRPr="000A4977" w:rsidRDefault="00500CB3" w:rsidP="00D36618">
                  <w:pPr>
                    <w:spacing w:after="0" w:line="240" w:lineRule="auto"/>
                    <w:ind w:left="142"/>
                    <w:rPr>
                      <w:rFonts w:ascii="Times New Roman" w:eastAsia="Times New Roman" w:hAnsi="Times New Roman" w:cs="Times New Roman"/>
                    </w:rPr>
                  </w:pPr>
                  <w:r w:rsidRPr="000A4977">
                    <w:rPr>
                      <w:rFonts w:ascii="Times New Roman" w:eastAsia="Times New Roman" w:hAnsi="Times New Roman" w:cs="Times New Roman"/>
                    </w:rPr>
                    <w:t>Programı:</w:t>
                  </w:r>
                </w:p>
              </w:tc>
              <w:tc>
                <w:tcPr>
                  <w:tcW w:w="7540" w:type="dxa"/>
                  <w:vAlign w:val="center"/>
                  <w:hideMark/>
                </w:tcPr>
                <w:p w:rsidR="00500CB3" w:rsidRPr="000A4977" w:rsidRDefault="00500CB3" w:rsidP="00D36618">
                  <w:pPr>
                    <w:spacing w:after="0" w:line="240" w:lineRule="auto"/>
                    <w:rPr>
                      <w:rFonts w:ascii="Times New Roman" w:eastAsia="Times New Roman" w:hAnsi="Times New Roman" w:cs="Times New Roman"/>
                    </w:rPr>
                  </w:pPr>
                  <w:r w:rsidRPr="000A4977">
                    <w:rPr>
                      <w:rFonts w:ascii="Times New Roman" w:eastAsia="Times New Roman" w:hAnsi="Times New Roman" w:cs="Times New Roman"/>
                    </w:rPr>
                    <w:fldChar w:fldCharType="begin">
                      <w:ffData>
                        <w:name w:val="Check4"/>
                        <w:enabled/>
                        <w:calcOnExit w:val="0"/>
                        <w:checkBox>
                          <w:sizeAuto/>
                          <w:default w:val="0"/>
                          <w:checked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Pr="000A4977">
                    <w:rPr>
                      <w:rFonts w:ascii="Times New Roman" w:eastAsia="Times New Roman" w:hAnsi="Times New Roman" w:cs="Times New Roman"/>
                    </w:rPr>
                    <w:t xml:space="preserve"> Uzaktan Tezsiz Yüksek Lisans</w:t>
                  </w:r>
                </w:p>
                <w:p w:rsidR="00500CB3" w:rsidRPr="000A4977" w:rsidRDefault="00500CB3" w:rsidP="00D36618">
                  <w:pPr>
                    <w:spacing w:after="0" w:line="240" w:lineRule="auto"/>
                    <w:rPr>
                      <w:rFonts w:ascii="Times New Roman" w:eastAsia="Times New Roman" w:hAnsi="Times New Roman" w:cs="Times New Roman"/>
                    </w:rPr>
                  </w:pPr>
                  <w:r w:rsidRPr="000A4977">
                    <w:rPr>
                      <w:rFonts w:ascii="Times New Roman" w:eastAsia="Times New Roman" w:hAnsi="Times New Roman" w:cs="Times New Roman"/>
                      <w:shd w:val="clear" w:color="auto" w:fill="FFFFFF" w:themeFill="background1"/>
                    </w:rPr>
                    <w:fldChar w:fldCharType="begin">
                      <w:ffData>
                        <w:name w:val="Check4"/>
                        <w:enabled/>
                        <w:calcOnExit w:val="0"/>
                        <w:checkBox>
                          <w:sizeAuto/>
                          <w:default w:val="0"/>
                          <w:checked w:val="0"/>
                        </w:checkBox>
                      </w:ffData>
                    </w:fldChar>
                  </w:r>
                  <w:r w:rsidRPr="000A4977">
                    <w:rPr>
                      <w:rFonts w:ascii="Times New Roman" w:eastAsia="Times New Roman" w:hAnsi="Times New Roman" w:cs="Times New Roman"/>
                      <w:shd w:val="clear" w:color="auto" w:fill="FFFFFF" w:themeFill="background1"/>
                    </w:rPr>
                    <w:instrText xml:space="preserve"> FORMCHECKBOX </w:instrText>
                  </w:r>
                  <w:r w:rsidRPr="000A4977">
                    <w:rPr>
                      <w:rFonts w:ascii="Times New Roman" w:eastAsia="Times New Roman" w:hAnsi="Times New Roman" w:cs="Times New Roman"/>
                      <w:shd w:val="clear" w:color="auto" w:fill="FFFFFF" w:themeFill="background1"/>
                    </w:rPr>
                  </w:r>
                  <w:r w:rsidRPr="000A4977">
                    <w:rPr>
                      <w:rFonts w:ascii="Times New Roman" w:eastAsia="Times New Roman" w:hAnsi="Times New Roman" w:cs="Times New Roman"/>
                      <w:shd w:val="clear" w:color="auto" w:fill="FFFFFF" w:themeFill="background1"/>
                    </w:rPr>
                    <w:fldChar w:fldCharType="end"/>
                  </w:r>
                  <w:r w:rsidRPr="000A4977">
                    <w:rPr>
                      <w:rFonts w:ascii="Times New Roman" w:eastAsia="Times New Roman" w:hAnsi="Times New Roman" w:cs="Times New Roman"/>
                    </w:rPr>
                    <w:t xml:space="preserve"> Tezsiz Yüksek Lisans</w:t>
                  </w:r>
                </w:p>
                <w:p w:rsidR="00500CB3" w:rsidRPr="000A4977" w:rsidRDefault="00500CB3" w:rsidP="00D36618">
                  <w:pPr>
                    <w:spacing w:after="0" w:line="240" w:lineRule="auto"/>
                    <w:rPr>
                      <w:rFonts w:ascii="Times New Roman" w:eastAsia="Times New Roman" w:hAnsi="Times New Roman" w:cs="Times New Roman"/>
                    </w:rPr>
                  </w:pP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Pr="000A4977">
                    <w:rPr>
                      <w:rFonts w:ascii="Times New Roman" w:eastAsia="Times New Roman" w:hAnsi="Times New Roman" w:cs="Times New Roman"/>
                    </w:rPr>
                    <w:t xml:space="preserve"> </w:t>
                  </w:r>
                  <w:r>
                    <w:rPr>
                      <w:rFonts w:ascii="Times New Roman" w:eastAsia="Times New Roman" w:hAnsi="Times New Roman" w:cs="Times New Roman"/>
                    </w:rPr>
                    <w:t xml:space="preserve">Tezli </w:t>
                  </w:r>
                  <w:r w:rsidRPr="000A4977">
                    <w:rPr>
                      <w:rFonts w:ascii="Times New Roman" w:eastAsia="Times New Roman" w:hAnsi="Times New Roman" w:cs="Times New Roman"/>
                    </w:rPr>
                    <w:t xml:space="preserve">Yüksek Lisans </w:t>
                  </w:r>
                </w:p>
                <w:p w:rsidR="00500CB3" w:rsidRPr="000A4977" w:rsidRDefault="00500CB3" w:rsidP="00D36618">
                  <w:pPr>
                    <w:spacing w:after="0" w:line="240" w:lineRule="auto"/>
                    <w:rPr>
                      <w:rFonts w:ascii="Times New Roman" w:eastAsia="Times New Roman" w:hAnsi="Times New Roman" w:cs="Times New Roman"/>
                    </w:rPr>
                  </w:pP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Pr="000A4977">
                    <w:rPr>
                      <w:rFonts w:ascii="Times New Roman" w:eastAsia="Times New Roman" w:hAnsi="Times New Roman" w:cs="Times New Roman"/>
                    </w:rPr>
                    <w:t xml:space="preserve"> Doktora </w:t>
                  </w:r>
                </w:p>
              </w:tc>
            </w:tr>
            <w:tr w:rsidR="00500CB3" w:rsidRPr="000A4977" w:rsidTr="0027103F">
              <w:trPr>
                <w:trHeight w:val="70"/>
              </w:trPr>
              <w:tc>
                <w:tcPr>
                  <w:tcW w:w="2579" w:type="dxa"/>
                  <w:vAlign w:val="center"/>
                  <w:hideMark/>
                </w:tcPr>
                <w:p w:rsidR="00500CB3" w:rsidRPr="000A4977" w:rsidRDefault="0027103F" w:rsidP="00D36618">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Öğrencinin İmzası/Tarih</w:t>
                  </w:r>
                </w:p>
              </w:tc>
              <w:tc>
                <w:tcPr>
                  <w:tcW w:w="7540" w:type="dxa"/>
                  <w:vAlign w:val="center"/>
                </w:tcPr>
                <w:p w:rsidR="00500CB3" w:rsidRPr="000A4977" w:rsidRDefault="00500CB3" w:rsidP="00D36618">
                  <w:pPr>
                    <w:spacing w:after="0" w:line="240" w:lineRule="auto"/>
                    <w:ind w:left="142"/>
                    <w:rPr>
                      <w:rFonts w:ascii="Times New Roman" w:eastAsia="Times New Roman" w:hAnsi="Times New Roman" w:cs="Times New Roman"/>
                    </w:rPr>
                  </w:pPr>
                </w:p>
              </w:tc>
            </w:tr>
          </w:tbl>
          <w:p w:rsidR="00500CB3" w:rsidRPr="000A4977" w:rsidRDefault="00500CB3" w:rsidP="006B725D">
            <w:pPr>
              <w:spacing w:after="0" w:line="240" w:lineRule="auto"/>
              <w:ind w:left="142"/>
              <w:rPr>
                <w:rFonts w:ascii="Times New Roman" w:eastAsia="Times New Roman" w:hAnsi="Times New Roman" w:cs="Times New Roman"/>
              </w:rPr>
            </w:pPr>
          </w:p>
          <w:p w:rsidR="0027710B" w:rsidRPr="000A4977" w:rsidRDefault="0027710B" w:rsidP="000A4977">
            <w:pPr>
              <w:tabs>
                <w:tab w:val="left" w:pos="10915"/>
              </w:tabs>
              <w:spacing w:after="0" w:line="240" w:lineRule="auto"/>
              <w:ind w:right="-77"/>
              <w:rPr>
                <w:rFonts w:ascii="Times New Roman" w:eastAsia="Times New Roman" w:hAnsi="Times New Roman" w:cs="Times New Roman"/>
              </w:rPr>
            </w:pPr>
            <w:r w:rsidRPr="000A4977">
              <w:rPr>
                <w:rFonts w:ascii="Times New Roman" w:eastAsia="Times New Roman" w:hAnsi="Times New Roman" w:cs="Times New Roman"/>
              </w:rPr>
              <w:t>MEVCUT DANIŞMAN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3275"/>
              <w:gridCol w:w="3150"/>
            </w:tblGrid>
            <w:tr w:rsidR="0027710B" w:rsidRPr="000A4977" w:rsidTr="000A4977">
              <w:trPr>
                <w:trHeight w:val="70"/>
              </w:trPr>
              <w:tc>
                <w:tcPr>
                  <w:tcW w:w="3855" w:type="dxa"/>
                  <w:tcBorders>
                    <w:top w:val="thinThickSmallGap" w:sz="24" w:space="0" w:color="auto"/>
                    <w:left w:val="thinThickSmallGap" w:sz="24" w:space="0" w:color="auto"/>
                    <w:bottom w:val="single" w:sz="6" w:space="0" w:color="auto"/>
                    <w:right w:val="single" w:sz="6" w:space="0" w:color="auto"/>
                  </w:tcBorders>
                  <w:vAlign w:val="center"/>
                  <w:hideMark/>
                </w:tcPr>
                <w:p w:rsidR="0027710B" w:rsidRPr="000A4977" w:rsidRDefault="006B725D" w:rsidP="006B725D">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t>Unvanı</w:t>
                  </w:r>
                  <w:r w:rsidR="0027710B" w:rsidRPr="000A4977">
                    <w:rPr>
                      <w:rFonts w:ascii="Times New Roman" w:eastAsia="Times New Roman" w:hAnsi="Times New Roman" w:cs="Times New Roman"/>
                    </w:rPr>
                    <w:t>, Adı Soyadı</w:t>
                  </w:r>
                </w:p>
              </w:tc>
              <w:tc>
                <w:tcPr>
                  <w:tcW w:w="3402" w:type="dxa"/>
                  <w:tcBorders>
                    <w:top w:val="thinThickSmallGap" w:sz="24" w:space="0" w:color="auto"/>
                    <w:left w:val="single" w:sz="6" w:space="0" w:color="auto"/>
                    <w:bottom w:val="single" w:sz="6" w:space="0" w:color="auto"/>
                    <w:right w:val="single" w:sz="6" w:space="0" w:color="auto"/>
                  </w:tcBorders>
                  <w:vAlign w:val="center"/>
                  <w:hideMark/>
                </w:tcPr>
                <w:p w:rsidR="0027710B" w:rsidRPr="000A4977" w:rsidRDefault="0027710B" w:rsidP="006B725D">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t>Anabilim Dalı</w:t>
                  </w:r>
                </w:p>
              </w:tc>
              <w:tc>
                <w:tcPr>
                  <w:tcW w:w="3260" w:type="dxa"/>
                  <w:tcBorders>
                    <w:top w:val="thinThickSmallGap" w:sz="24" w:space="0" w:color="auto"/>
                    <w:left w:val="single" w:sz="6" w:space="0" w:color="auto"/>
                    <w:bottom w:val="single" w:sz="6" w:space="0" w:color="auto"/>
                    <w:right w:val="thickThinSmallGap" w:sz="24" w:space="0" w:color="auto"/>
                  </w:tcBorders>
                  <w:vAlign w:val="center"/>
                  <w:hideMark/>
                </w:tcPr>
                <w:p w:rsidR="0027710B" w:rsidRPr="000A4977" w:rsidRDefault="0027710B" w:rsidP="006B725D">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t>Tarih/İmza</w:t>
                  </w:r>
                </w:p>
              </w:tc>
            </w:tr>
            <w:tr w:rsidR="0027710B" w:rsidRPr="000A4977" w:rsidTr="000A4977">
              <w:trPr>
                <w:trHeight w:val="195"/>
              </w:trPr>
              <w:tc>
                <w:tcPr>
                  <w:tcW w:w="3855" w:type="dxa"/>
                  <w:tcBorders>
                    <w:top w:val="single" w:sz="6" w:space="0" w:color="auto"/>
                    <w:left w:val="thinThickSmallGap" w:sz="24" w:space="0" w:color="auto"/>
                    <w:bottom w:val="single" w:sz="6" w:space="0" w:color="auto"/>
                    <w:right w:val="single" w:sz="6" w:space="0" w:color="auto"/>
                  </w:tcBorders>
                  <w:vAlign w:val="center"/>
                </w:tcPr>
                <w:p w:rsidR="0027710B" w:rsidRPr="000A4977" w:rsidRDefault="0027710B" w:rsidP="006B725D">
                  <w:pPr>
                    <w:spacing w:after="0" w:line="240" w:lineRule="auto"/>
                    <w:ind w:left="142"/>
                    <w:rPr>
                      <w:rFonts w:ascii="Times New Roman" w:eastAsia="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Pr>
                <w:p w:rsidR="0027710B" w:rsidRPr="000A4977" w:rsidRDefault="0027710B" w:rsidP="006B725D">
                  <w:pPr>
                    <w:spacing w:after="0" w:line="240" w:lineRule="auto"/>
                    <w:ind w:left="142"/>
                    <w:rPr>
                      <w:rFonts w:ascii="Times New Roman" w:eastAsia="Times New Roman" w:hAnsi="Times New Roman" w:cs="Times New Roman"/>
                    </w:rPr>
                  </w:pPr>
                </w:p>
              </w:tc>
              <w:tc>
                <w:tcPr>
                  <w:tcW w:w="3260" w:type="dxa"/>
                  <w:tcBorders>
                    <w:top w:val="single" w:sz="6" w:space="0" w:color="auto"/>
                    <w:left w:val="single" w:sz="6" w:space="0" w:color="auto"/>
                    <w:bottom w:val="single" w:sz="6" w:space="0" w:color="auto"/>
                    <w:right w:val="thickThinSmallGap" w:sz="24" w:space="0" w:color="auto"/>
                  </w:tcBorders>
                </w:tcPr>
                <w:p w:rsidR="0027710B" w:rsidRPr="000A4977" w:rsidRDefault="0027710B" w:rsidP="006B725D">
                  <w:pPr>
                    <w:spacing w:after="0" w:line="240" w:lineRule="auto"/>
                    <w:ind w:left="142"/>
                    <w:rPr>
                      <w:rFonts w:ascii="Times New Roman" w:eastAsia="Times New Roman" w:hAnsi="Times New Roman" w:cs="Times New Roman"/>
                    </w:rPr>
                  </w:pPr>
                </w:p>
              </w:tc>
            </w:tr>
            <w:tr w:rsidR="0027710B" w:rsidRPr="000A4977" w:rsidTr="000A4977">
              <w:trPr>
                <w:trHeight w:val="1121"/>
              </w:trPr>
              <w:tc>
                <w:tcPr>
                  <w:tcW w:w="10517" w:type="dxa"/>
                  <w:gridSpan w:val="3"/>
                  <w:tcBorders>
                    <w:top w:val="single" w:sz="6" w:space="0" w:color="auto"/>
                    <w:left w:val="thinThickSmallGap" w:sz="24" w:space="0" w:color="auto"/>
                    <w:bottom w:val="thickThinSmallGap" w:sz="24" w:space="0" w:color="auto"/>
                    <w:right w:val="thickThinSmallGap" w:sz="24" w:space="0" w:color="auto"/>
                  </w:tcBorders>
                  <w:vAlign w:val="center"/>
                  <w:hideMark/>
                </w:tcPr>
                <w:p w:rsidR="0027710B" w:rsidRPr="000A4977" w:rsidRDefault="0027710B" w:rsidP="006B725D">
                  <w:pPr>
                    <w:spacing w:after="0" w:line="240" w:lineRule="auto"/>
                    <w:ind w:left="142"/>
                    <w:jc w:val="both"/>
                    <w:rPr>
                      <w:rFonts w:ascii="Times New Roman" w:eastAsia="Times New Roman" w:hAnsi="Times New Roman" w:cs="Times New Roman"/>
                    </w:rPr>
                  </w:pPr>
                  <w:r w:rsidRPr="000A4977">
                    <w:rPr>
                      <w:rFonts w:ascii="Times New Roman" w:eastAsia="Times New Roman" w:hAnsi="Times New Roman" w:cs="Times New Roman"/>
                    </w:rPr>
                    <w:t xml:space="preserve">Tez konusu </w:t>
                  </w:r>
                  <w:r w:rsidR="006B725D" w:rsidRPr="000A4977">
                    <w:rPr>
                      <w:rFonts w:ascii="Times New Roman" w:eastAsia="Times New Roman" w:hAnsi="Times New Roman" w:cs="Times New Roman"/>
                    </w:rPr>
                    <w:t xml:space="preserve">Enstitü Yönetim Kurulunca </w:t>
                  </w:r>
                  <w:r w:rsidRPr="000A4977">
                    <w:rPr>
                      <w:rFonts w:ascii="Times New Roman" w:eastAsia="Times New Roman" w:hAnsi="Times New Roman" w:cs="Times New Roman"/>
                    </w:rPr>
                    <w:t xml:space="preserve">onaylanmış ise, önerilen danışmanın </w:t>
                  </w:r>
                  <w:r w:rsidRPr="000A4977">
                    <w:rPr>
                      <w:rFonts w:ascii="Times New Roman" w:eastAsia="Times New Roman" w:hAnsi="Times New Roman" w:cs="Times New Roman"/>
                      <w:b/>
                      <w:color w:val="FF0000"/>
                    </w:rPr>
                    <w:t>mevcut</w:t>
                  </w:r>
                  <w:r w:rsidR="006B725D" w:rsidRPr="000A4977">
                    <w:rPr>
                      <w:rFonts w:ascii="Times New Roman" w:eastAsia="Times New Roman" w:hAnsi="Times New Roman" w:cs="Times New Roman"/>
                      <w:b/>
                      <w:color w:val="FF0000"/>
                    </w:rPr>
                    <w:t xml:space="preserve"> tez konusunu</w:t>
                  </w:r>
                  <w:r w:rsidR="006B725D" w:rsidRPr="000A4977">
                    <w:rPr>
                      <w:rFonts w:ascii="Times New Roman" w:eastAsia="Times New Roman" w:hAnsi="Times New Roman" w:cs="Times New Roman"/>
                      <w:color w:val="FF0000"/>
                    </w:rPr>
                    <w:t xml:space="preserve"> </w:t>
                  </w:r>
                  <w:r w:rsidR="006B725D" w:rsidRPr="000A4977">
                    <w:rPr>
                      <w:rFonts w:ascii="Times New Roman" w:eastAsia="Times New Roman" w:hAnsi="Times New Roman" w:cs="Times New Roman"/>
                    </w:rPr>
                    <w:t>devam ettirmesi,</w:t>
                  </w:r>
                </w:p>
                <w:p w:rsidR="006B725D" w:rsidRPr="000A4977" w:rsidRDefault="006B725D" w:rsidP="006B725D">
                  <w:pPr>
                    <w:spacing w:after="0" w:line="240" w:lineRule="auto"/>
                    <w:ind w:left="142"/>
                    <w:jc w:val="both"/>
                    <w:rPr>
                      <w:rFonts w:ascii="Times New Roman" w:eastAsia="Times New Roman" w:hAnsi="Times New Roman" w:cs="Times New Roman"/>
                    </w:rPr>
                  </w:pPr>
                </w:p>
                <w:p w:rsidR="0027710B" w:rsidRDefault="006B725D" w:rsidP="00F22B26">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007B7121" w:rsidRPr="000A4977">
                    <w:rPr>
                      <w:rFonts w:ascii="Times New Roman" w:eastAsia="Times New Roman" w:hAnsi="Times New Roman" w:cs="Times New Roman"/>
                    </w:rPr>
                    <w:t xml:space="preserve"> </w:t>
                  </w:r>
                  <w:r w:rsidR="0027710B" w:rsidRPr="000A4977">
                    <w:rPr>
                      <w:rFonts w:ascii="Times New Roman" w:eastAsia="Times New Roman" w:hAnsi="Times New Roman" w:cs="Times New Roman"/>
                    </w:rPr>
                    <w:t xml:space="preserve">Uygundur   </w:t>
                  </w:r>
                  <w:r w:rsidR="00F22B26" w:rsidRPr="000A4977">
                    <w:rPr>
                      <w:rFonts w:ascii="Times New Roman" w:eastAsia="Times New Roman" w:hAnsi="Times New Roman" w:cs="Times New Roman"/>
                    </w:rPr>
                    <w:t xml:space="preserve">                       </w:t>
                  </w:r>
                  <w:r w:rsidR="0027710B" w:rsidRPr="000A4977">
                    <w:rPr>
                      <w:rFonts w:ascii="Times New Roman" w:eastAsia="Times New Roman" w:hAnsi="Times New Roman" w:cs="Times New Roman"/>
                    </w:rPr>
                    <w:t xml:space="preserve"> </w:t>
                  </w: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007B7121" w:rsidRPr="000A4977">
                    <w:rPr>
                      <w:rFonts w:ascii="Times New Roman" w:eastAsia="Times New Roman" w:hAnsi="Times New Roman" w:cs="Times New Roman"/>
                    </w:rPr>
                    <w:t xml:space="preserve"> </w:t>
                  </w:r>
                  <w:r w:rsidR="0027710B" w:rsidRPr="000A4977">
                    <w:rPr>
                      <w:rFonts w:ascii="Times New Roman" w:eastAsia="Times New Roman" w:hAnsi="Times New Roman" w:cs="Times New Roman"/>
                    </w:rPr>
                    <w:t>Uygun Değildir</w:t>
                  </w:r>
                </w:p>
                <w:p w:rsidR="000A4977" w:rsidRDefault="000A4977" w:rsidP="00F22B26">
                  <w:pPr>
                    <w:spacing w:after="0" w:line="240" w:lineRule="auto"/>
                    <w:ind w:left="142"/>
                    <w:jc w:val="center"/>
                    <w:rPr>
                      <w:rFonts w:ascii="Times New Roman" w:eastAsia="Times New Roman" w:hAnsi="Times New Roman" w:cs="Times New Roman"/>
                    </w:rPr>
                  </w:pPr>
                </w:p>
                <w:p w:rsidR="000A4977" w:rsidRPr="000A4977" w:rsidRDefault="000A4977" w:rsidP="000A4977">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Not:</w:t>
                  </w:r>
                  <w:r w:rsidRPr="000A4977">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M</w:t>
                  </w:r>
                  <w:r w:rsidRPr="000A4977">
                    <w:rPr>
                      <w:rFonts w:ascii="Times New Roman" w:eastAsia="Times New Roman" w:hAnsi="Times New Roman" w:cs="Times New Roman"/>
                      <w:b/>
                      <w:color w:val="FF0000"/>
                    </w:rPr>
                    <w:t>evcut</w:t>
                  </w:r>
                  <w:r>
                    <w:rPr>
                      <w:rFonts w:ascii="Times New Roman" w:eastAsia="Times New Roman" w:hAnsi="Times New Roman" w:cs="Times New Roman"/>
                      <w:b/>
                      <w:color w:val="FF0000"/>
                    </w:rPr>
                    <w:t xml:space="preserve"> Tez konusu</w:t>
                  </w:r>
                  <w:r w:rsidR="00204144">
                    <w:rPr>
                      <w:rFonts w:ascii="Times New Roman" w:eastAsia="Times New Roman" w:hAnsi="Times New Roman" w:cs="Times New Roman"/>
                      <w:b/>
                      <w:color w:val="FF0000"/>
                    </w:rPr>
                    <w:t>nun</w:t>
                  </w:r>
                  <w:r>
                    <w:rPr>
                      <w:rFonts w:ascii="Times New Roman" w:eastAsia="Times New Roman" w:hAnsi="Times New Roman" w:cs="Times New Roman"/>
                      <w:b/>
                      <w:color w:val="FF0000"/>
                    </w:rPr>
                    <w:t xml:space="preserve"> devam etmesi durumunda Tez üzerindeki haklarımdan feragat ettiğimi kabul ederim. </w:t>
                  </w:r>
                </w:p>
                <w:p w:rsidR="006B725D" w:rsidRPr="000A4977" w:rsidRDefault="006B725D" w:rsidP="006B725D">
                  <w:pPr>
                    <w:spacing w:after="0" w:line="240" w:lineRule="auto"/>
                    <w:ind w:left="142"/>
                    <w:jc w:val="both"/>
                    <w:rPr>
                      <w:rFonts w:ascii="Times New Roman" w:eastAsia="Times New Roman" w:hAnsi="Times New Roman" w:cs="Times New Roman"/>
                    </w:rPr>
                  </w:pPr>
                </w:p>
              </w:tc>
            </w:tr>
          </w:tbl>
          <w:p w:rsidR="0027710B" w:rsidRPr="000A4977" w:rsidRDefault="0027710B" w:rsidP="006B725D">
            <w:pPr>
              <w:spacing w:after="0" w:line="240" w:lineRule="auto"/>
              <w:ind w:left="142"/>
              <w:rPr>
                <w:rFonts w:ascii="Times New Roman" w:eastAsia="Times New Roman" w:hAnsi="Times New Roman" w:cs="Times New Roman"/>
              </w:rPr>
            </w:pPr>
          </w:p>
          <w:p w:rsidR="0027710B" w:rsidRPr="000A4977" w:rsidRDefault="0027710B" w:rsidP="000A4977">
            <w:pPr>
              <w:spacing w:after="0" w:line="240" w:lineRule="auto"/>
              <w:rPr>
                <w:rFonts w:ascii="Times New Roman" w:eastAsia="Times New Roman" w:hAnsi="Times New Roman" w:cs="Times New Roman"/>
              </w:rPr>
            </w:pPr>
            <w:r w:rsidRPr="000A4977">
              <w:rPr>
                <w:rFonts w:ascii="Times New Roman" w:eastAsia="Times New Roman" w:hAnsi="Times New Roman" w:cs="Times New Roman"/>
              </w:rPr>
              <w:t xml:space="preserve">YENİ DANIŞMAN </w:t>
            </w:r>
            <w:r w:rsidR="006B725D" w:rsidRPr="000A4977">
              <w:rPr>
                <w:rFonts w:ascii="Times New Roman" w:eastAsia="Times New Roman" w:hAnsi="Times New Roman" w:cs="Times New Roman"/>
              </w:rPr>
              <w:t xml:space="preserve">TALEBİ </w:t>
            </w:r>
            <w:r w:rsidRPr="000A4977">
              <w:rPr>
                <w:rFonts w:ascii="Times New Roman" w:eastAsia="Times New Roman" w:hAnsi="Times New Roman" w:cs="Times New Roman"/>
              </w:rPr>
              <w:t>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272"/>
              <w:gridCol w:w="3146"/>
            </w:tblGrid>
            <w:tr w:rsidR="0027710B" w:rsidRPr="000A4977" w:rsidTr="000A4977">
              <w:trPr>
                <w:trHeight w:val="324"/>
              </w:trPr>
              <w:tc>
                <w:tcPr>
                  <w:tcW w:w="3855" w:type="dxa"/>
                  <w:tcBorders>
                    <w:top w:val="thinThickSmallGap" w:sz="24" w:space="0" w:color="auto"/>
                    <w:left w:val="thinThickSmallGap" w:sz="24" w:space="0" w:color="auto"/>
                    <w:bottom w:val="single" w:sz="6" w:space="0" w:color="auto"/>
                    <w:right w:val="single" w:sz="6" w:space="0" w:color="auto"/>
                  </w:tcBorders>
                  <w:vAlign w:val="center"/>
                  <w:hideMark/>
                </w:tcPr>
                <w:p w:rsidR="0027710B" w:rsidRPr="000A4977" w:rsidRDefault="006B725D" w:rsidP="006B725D">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t>Unvanı</w:t>
                  </w:r>
                  <w:r w:rsidR="0027710B" w:rsidRPr="000A4977">
                    <w:rPr>
                      <w:rFonts w:ascii="Times New Roman" w:eastAsia="Times New Roman" w:hAnsi="Times New Roman" w:cs="Times New Roman"/>
                    </w:rPr>
                    <w:t>, Adı Soyadı</w:t>
                  </w:r>
                </w:p>
              </w:tc>
              <w:tc>
                <w:tcPr>
                  <w:tcW w:w="3402" w:type="dxa"/>
                  <w:tcBorders>
                    <w:top w:val="thinThickSmallGap" w:sz="24" w:space="0" w:color="auto"/>
                    <w:left w:val="single" w:sz="6" w:space="0" w:color="auto"/>
                    <w:bottom w:val="single" w:sz="6" w:space="0" w:color="auto"/>
                    <w:right w:val="single" w:sz="6" w:space="0" w:color="auto"/>
                  </w:tcBorders>
                  <w:hideMark/>
                </w:tcPr>
                <w:p w:rsidR="0027710B" w:rsidRPr="000A4977" w:rsidRDefault="0027710B" w:rsidP="006B725D">
                  <w:pPr>
                    <w:spacing w:after="0" w:line="240" w:lineRule="auto"/>
                    <w:jc w:val="center"/>
                    <w:rPr>
                      <w:rFonts w:ascii="Times New Roman" w:eastAsia="Times New Roman" w:hAnsi="Times New Roman" w:cs="Times New Roman"/>
                    </w:rPr>
                  </w:pPr>
                  <w:r w:rsidRPr="000A4977">
                    <w:rPr>
                      <w:rFonts w:ascii="Times New Roman" w:eastAsia="Times New Roman" w:hAnsi="Times New Roman" w:cs="Times New Roman"/>
                    </w:rPr>
                    <w:t>Anabilim Dalı</w:t>
                  </w:r>
                </w:p>
              </w:tc>
              <w:tc>
                <w:tcPr>
                  <w:tcW w:w="3260" w:type="dxa"/>
                  <w:tcBorders>
                    <w:top w:val="thinThickSmallGap" w:sz="24" w:space="0" w:color="auto"/>
                    <w:left w:val="single" w:sz="6" w:space="0" w:color="auto"/>
                    <w:bottom w:val="single" w:sz="6" w:space="0" w:color="auto"/>
                    <w:right w:val="thickThinSmallGap" w:sz="24" w:space="0" w:color="auto"/>
                  </w:tcBorders>
                  <w:hideMark/>
                </w:tcPr>
                <w:p w:rsidR="0027710B" w:rsidRPr="000A4977" w:rsidRDefault="0027710B" w:rsidP="006B725D">
                  <w:pPr>
                    <w:spacing w:after="0" w:line="240" w:lineRule="auto"/>
                    <w:jc w:val="center"/>
                    <w:rPr>
                      <w:rFonts w:ascii="Times New Roman" w:eastAsia="Times New Roman" w:hAnsi="Times New Roman" w:cs="Times New Roman"/>
                    </w:rPr>
                  </w:pPr>
                  <w:r w:rsidRPr="000A4977">
                    <w:rPr>
                      <w:rFonts w:ascii="Times New Roman" w:eastAsia="Times New Roman" w:hAnsi="Times New Roman" w:cs="Times New Roman"/>
                    </w:rPr>
                    <w:t>Tarih/İmza</w:t>
                  </w:r>
                </w:p>
              </w:tc>
            </w:tr>
            <w:tr w:rsidR="0027710B" w:rsidRPr="000A4977" w:rsidTr="000A4977">
              <w:trPr>
                <w:trHeight w:val="65"/>
              </w:trPr>
              <w:tc>
                <w:tcPr>
                  <w:tcW w:w="3855" w:type="dxa"/>
                  <w:tcBorders>
                    <w:top w:val="single" w:sz="6" w:space="0" w:color="auto"/>
                    <w:left w:val="thinThickSmallGap" w:sz="24" w:space="0" w:color="auto"/>
                    <w:bottom w:val="single" w:sz="6" w:space="0" w:color="auto"/>
                    <w:right w:val="single" w:sz="6" w:space="0" w:color="auto"/>
                  </w:tcBorders>
                  <w:vAlign w:val="center"/>
                </w:tcPr>
                <w:p w:rsidR="0027710B" w:rsidRPr="000A4977" w:rsidRDefault="0027710B" w:rsidP="006B725D">
                  <w:pPr>
                    <w:spacing w:after="0" w:line="240" w:lineRule="auto"/>
                    <w:ind w:left="142"/>
                    <w:rPr>
                      <w:rFonts w:ascii="Times New Roman" w:eastAsia="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Pr>
                <w:p w:rsidR="0027710B" w:rsidRPr="000A4977" w:rsidRDefault="0027710B" w:rsidP="006B725D">
                  <w:pPr>
                    <w:spacing w:after="0" w:line="240" w:lineRule="auto"/>
                    <w:ind w:left="142"/>
                    <w:rPr>
                      <w:rFonts w:ascii="Times New Roman" w:eastAsia="Times New Roman" w:hAnsi="Times New Roman" w:cs="Times New Roman"/>
                    </w:rPr>
                  </w:pPr>
                </w:p>
              </w:tc>
              <w:tc>
                <w:tcPr>
                  <w:tcW w:w="3260" w:type="dxa"/>
                  <w:tcBorders>
                    <w:top w:val="single" w:sz="6" w:space="0" w:color="auto"/>
                    <w:left w:val="single" w:sz="6" w:space="0" w:color="auto"/>
                    <w:bottom w:val="single" w:sz="6" w:space="0" w:color="auto"/>
                    <w:right w:val="thickThinSmallGap" w:sz="24" w:space="0" w:color="auto"/>
                  </w:tcBorders>
                </w:tcPr>
                <w:p w:rsidR="0027710B" w:rsidRPr="000A4977" w:rsidRDefault="0027710B" w:rsidP="006B725D">
                  <w:pPr>
                    <w:spacing w:after="0" w:line="240" w:lineRule="auto"/>
                    <w:ind w:left="142"/>
                    <w:rPr>
                      <w:rFonts w:ascii="Times New Roman" w:eastAsia="Times New Roman" w:hAnsi="Times New Roman" w:cs="Times New Roman"/>
                    </w:rPr>
                  </w:pPr>
                </w:p>
              </w:tc>
            </w:tr>
            <w:tr w:rsidR="0027710B" w:rsidRPr="000A4977" w:rsidTr="000A4977">
              <w:trPr>
                <w:trHeight w:val="567"/>
              </w:trPr>
              <w:tc>
                <w:tcPr>
                  <w:tcW w:w="10517" w:type="dxa"/>
                  <w:gridSpan w:val="3"/>
                  <w:tcBorders>
                    <w:top w:val="single" w:sz="6" w:space="0" w:color="auto"/>
                    <w:left w:val="thinThickSmallGap" w:sz="24" w:space="0" w:color="auto"/>
                    <w:bottom w:val="thickThinSmallGap" w:sz="24" w:space="0" w:color="auto"/>
                    <w:right w:val="thickThinSmallGap" w:sz="24" w:space="0" w:color="auto"/>
                  </w:tcBorders>
                  <w:vAlign w:val="center"/>
                  <w:hideMark/>
                </w:tcPr>
                <w:p w:rsidR="0027710B" w:rsidRPr="000A4977" w:rsidRDefault="0027710B" w:rsidP="006B725D">
                  <w:pPr>
                    <w:spacing w:after="0" w:line="240" w:lineRule="auto"/>
                    <w:ind w:left="142"/>
                    <w:jc w:val="both"/>
                    <w:rPr>
                      <w:rFonts w:ascii="Times New Roman" w:eastAsia="Times New Roman" w:hAnsi="Times New Roman" w:cs="Times New Roman"/>
                    </w:rPr>
                  </w:pPr>
                  <w:r w:rsidRPr="000A4977">
                    <w:rPr>
                      <w:rFonts w:ascii="Times New Roman" w:eastAsia="Times New Roman" w:hAnsi="Times New Roman" w:cs="Times New Roman"/>
                    </w:rPr>
                    <w:t xml:space="preserve">Tez konusu </w:t>
                  </w:r>
                  <w:r w:rsidR="006B725D" w:rsidRPr="000A4977">
                    <w:rPr>
                      <w:rFonts w:ascii="Times New Roman" w:eastAsia="Times New Roman" w:hAnsi="Times New Roman" w:cs="Times New Roman"/>
                    </w:rPr>
                    <w:t xml:space="preserve">Enstitü Yönetim Kurulunca </w:t>
                  </w:r>
                  <w:r w:rsidRPr="000A4977">
                    <w:rPr>
                      <w:rFonts w:ascii="Times New Roman" w:eastAsia="Times New Roman" w:hAnsi="Times New Roman" w:cs="Times New Roman"/>
                    </w:rPr>
                    <w:t xml:space="preserve">onaylanmış ise, öğrencinin </w:t>
                  </w:r>
                  <w:r w:rsidRPr="000A4977">
                    <w:rPr>
                      <w:rFonts w:ascii="Times New Roman" w:eastAsia="Times New Roman" w:hAnsi="Times New Roman" w:cs="Times New Roman"/>
                      <w:b/>
                      <w:color w:val="FF0000"/>
                    </w:rPr>
                    <w:t>mevcut</w:t>
                  </w:r>
                  <w:r w:rsidR="006B725D" w:rsidRPr="000A4977">
                    <w:rPr>
                      <w:rFonts w:ascii="Times New Roman" w:eastAsia="Times New Roman" w:hAnsi="Times New Roman" w:cs="Times New Roman"/>
                      <w:b/>
                      <w:color w:val="FF0000"/>
                    </w:rPr>
                    <w:t xml:space="preserve"> tez konusunu</w:t>
                  </w:r>
                  <w:r w:rsidR="006B725D" w:rsidRPr="000A4977">
                    <w:rPr>
                      <w:rFonts w:ascii="Times New Roman" w:eastAsia="Times New Roman" w:hAnsi="Times New Roman" w:cs="Times New Roman"/>
                      <w:color w:val="FF0000"/>
                    </w:rPr>
                    <w:t xml:space="preserve"> </w:t>
                  </w:r>
                  <w:r w:rsidR="006B725D" w:rsidRPr="000A4977">
                    <w:rPr>
                      <w:rFonts w:ascii="Times New Roman" w:eastAsia="Times New Roman" w:hAnsi="Times New Roman" w:cs="Times New Roman"/>
                    </w:rPr>
                    <w:t>devam ettirmesi,</w:t>
                  </w:r>
                </w:p>
                <w:p w:rsidR="006B725D" w:rsidRPr="000A4977" w:rsidRDefault="006B725D" w:rsidP="006B725D">
                  <w:pPr>
                    <w:spacing w:after="0" w:line="240" w:lineRule="auto"/>
                    <w:ind w:left="142"/>
                    <w:jc w:val="both"/>
                    <w:rPr>
                      <w:rFonts w:ascii="Times New Roman" w:eastAsia="Times New Roman" w:hAnsi="Times New Roman" w:cs="Times New Roman"/>
                    </w:rPr>
                  </w:pPr>
                </w:p>
                <w:p w:rsidR="00F22B26" w:rsidRPr="000A4977" w:rsidRDefault="00F22B26" w:rsidP="00F22B26">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007B7121" w:rsidRPr="000A4977">
                    <w:rPr>
                      <w:rFonts w:ascii="Times New Roman" w:eastAsia="Times New Roman" w:hAnsi="Times New Roman" w:cs="Times New Roman"/>
                    </w:rPr>
                    <w:t xml:space="preserve"> </w:t>
                  </w:r>
                  <w:r w:rsidRPr="000A4977">
                    <w:rPr>
                      <w:rFonts w:ascii="Times New Roman" w:eastAsia="Times New Roman" w:hAnsi="Times New Roman" w:cs="Times New Roman"/>
                    </w:rPr>
                    <w:t xml:space="preserve">Uygundur                           </w:t>
                  </w:r>
                  <w:r w:rsidRPr="000A4977">
                    <w:rPr>
                      <w:rFonts w:ascii="Times New Roman" w:eastAsia="Times New Roman" w:hAnsi="Times New Roman" w:cs="Times New Roman"/>
                    </w:rPr>
                    <w:fldChar w:fldCharType="begin">
                      <w:ffData>
                        <w:name w:val="Onay1"/>
                        <w:enabled/>
                        <w:calcOnExit w:val="0"/>
                        <w:checkBox>
                          <w:sizeAuto/>
                          <w:default w:val="0"/>
                        </w:checkBox>
                      </w:ffData>
                    </w:fldChar>
                  </w:r>
                  <w:r w:rsidRPr="000A4977">
                    <w:rPr>
                      <w:rFonts w:ascii="Times New Roman" w:eastAsia="Times New Roman" w:hAnsi="Times New Roman" w:cs="Times New Roman"/>
                    </w:rPr>
                    <w:instrText xml:space="preserve"> FORMCHECKBOX </w:instrText>
                  </w:r>
                  <w:r w:rsidRPr="000A4977">
                    <w:rPr>
                      <w:rFonts w:ascii="Times New Roman" w:eastAsia="Times New Roman" w:hAnsi="Times New Roman" w:cs="Times New Roman"/>
                    </w:rPr>
                  </w:r>
                  <w:r w:rsidRPr="000A4977">
                    <w:rPr>
                      <w:rFonts w:ascii="Times New Roman" w:eastAsia="Times New Roman" w:hAnsi="Times New Roman" w:cs="Times New Roman"/>
                    </w:rPr>
                    <w:fldChar w:fldCharType="end"/>
                  </w:r>
                  <w:r w:rsidR="007B7121" w:rsidRPr="000A4977">
                    <w:rPr>
                      <w:rFonts w:ascii="Times New Roman" w:eastAsia="Times New Roman" w:hAnsi="Times New Roman" w:cs="Times New Roman"/>
                    </w:rPr>
                    <w:t xml:space="preserve"> </w:t>
                  </w:r>
                  <w:r w:rsidRPr="000A4977">
                    <w:rPr>
                      <w:rFonts w:ascii="Times New Roman" w:eastAsia="Times New Roman" w:hAnsi="Times New Roman" w:cs="Times New Roman"/>
                    </w:rPr>
                    <w:t>Uygun Değildir</w:t>
                  </w:r>
                </w:p>
                <w:p w:rsidR="006B725D" w:rsidRPr="000A4977" w:rsidRDefault="006B725D" w:rsidP="006B725D">
                  <w:pPr>
                    <w:spacing w:after="0" w:line="240" w:lineRule="auto"/>
                    <w:ind w:left="142"/>
                    <w:jc w:val="both"/>
                    <w:rPr>
                      <w:rFonts w:ascii="Times New Roman" w:eastAsia="Times New Roman" w:hAnsi="Times New Roman" w:cs="Times New Roman"/>
                    </w:rPr>
                  </w:pPr>
                </w:p>
              </w:tc>
            </w:tr>
          </w:tbl>
          <w:p w:rsidR="0027710B" w:rsidRPr="000A4977" w:rsidRDefault="0027710B" w:rsidP="00500CB3">
            <w:pPr>
              <w:spacing w:after="0" w:line="240" w:lineRule="auto"/>
              <w:rPr>
                <w:rFonts w:ascii="Times New Roman" w:eastAsia="Times New Roman" w:hAnsi="Times New Roman" w:cs="Times New Roman"/>
              </w:rPr>
            </w:pPr>
            <w:r w:rsidRPr="000A4977">
              <w:rPr>
                <w:rFonts w:ascii="Times New Roman" w:eastAsia="Times New Roman" w:hAnsi="Times New Roman" w:cs="Times New Roman"/>
              </w:rPr>
              <w:t xml:space="preserve"> </w:t>
            </w:r>
          </w:p>
          <w:p w:rsidR="0027710B" w:rsidRPr="000A4977" w:rsidRDefault="0027710B" w:rsidP="006B725D">
            <w:pPr>
              <w:spacing w:after="0" w:line="240" w:lineRule="auto"/>
              <w:ind w:left="142"/>
              <w:rPr>
                <w:rFonts w:ascii="Times New Roman" w:eastAsia="Times New Roman" w:hAnsi="Times New Roman" w:cs="Times New Roman"/>
              </w:rPr>
            </w:pPr>
          </w:p>
          <w:p w:rsidR="0027710B" w:rsidRPr="000A4977" w:rsidRDefault="0027710B" w:rsidP="007B7121">
            <w:pPr>
              <w:spacing w:after="0" w:line="240" w:lineRule="auto"/>
              <w:ind w:left="142"/>
              <w:jc w:val="center"/>
              <w:rPr>
                <w:rFonts w:ascii="Times New Roman" w:eastAsia="Times New Roman" w:hAnsi="Times New Roman" w:cs="Times New Roman"/>
              </w:rPr>
            </w:pPr>
            <w:r w:rsidRPr="000A4977">
              <w:rPr>
                <w:rFonts w:ascii="Times New Roman" w:eastAsia="Times New Roman" w:hAnsi="Times New Roman" w:cs="Times New Roman"/>
              </w:rPr>
              <w:t>Anabilim Dalı Başkanı</w:t>
            </w:r>
            <w:r w:rsidR="007B7121" w:rsidRPr="000A4977">
              <w:rPr>
                <w:rFonts w:ascii="Times New Roman" w:eastAsia="Times New Roman" w:hAnsi="Times New Roman" w:cs="Times New Roman"/>
              </w:rPr>
              <w:t xml:space="preserve"> Ad-Soyadı</w:t>
            </w:r>
          </w:p>
          <w:p w:rsidR="0027710B" w:rsidRPr="000A4977" w:rsidRDefault="0027710B" w:rsidP="006B725D">
            <w:pPr>
              <w:spacing w:after="0" w:line="240" w:lineRule="auto"/>
              <w:ind w:left="142"/>
              <w:jc w:val="center"/>
              <w:rPr>
                <w:rFonts w:ascii="Times New Roman" w:eastAsia="Times New Roman" w:hAnsi="Times New Roman" w:cs="Times New Roman"/>
                <w:i/>
              </w:rPr>
            </w:pPr>
            <w:r w:rsidRPr="000A4977">
              <w:rPr>
                <w:rFonts w:ascii="Times New Roman" w:eastAsia="Times New Roman" w:hAnsi="Times New Roman" w:cs="Times New Roman"/>
              </w:rPr>
              <w:t>İmza</w:t>
            </w:r>
          </w:p>
          <w:p w:rsidR="000A4977" w:rsidRPr="000A4977" w:rsidRDefault="000A4977" w:rsidP="00F6560F">
            <w:pPr>
              <w:spacing w:after="0" w:line="240" w:lineRule="auto"/>
              <w:rPr>
                <w:rFonts w:ascii="Times New Roman" w:hAnsi="Times New Roman" w:cs="Times New Roman"/>
              </w:rPr>
            </w:pPr>
          </w:p>
        </w:tc>
      </w:tr>
    </w:tbl>
    <w:p w:rsidR="00306849" w:rsidRDefault="00306849" w:rsidP="000F2812">
      <w:pPr>
        <w:ind w:left="-709"/>
        <w:rPr>
          <w:rFonts w:ascii="Times New Roman" w:hAnsi="Times New Roman" w:cs="Times New Roman"/>
        </w:rPr>
      </w:pPr>
    </w:p>
    <w:p w:rsidR="000A4977" w:rsidRDefault="000A4977" w:rsidP="000A4977">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Danışman ataması</w:t>
      </w:r>
    </w:p>
    <w:p w:rsidR="000A4977" w:rsidRDefault="000A4977" w:rsidP="000A4977">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xml:space="preserve">(1) Lisansüstü programlarda her öğrenci için tez danışmanı, öğretim üyeleri arasından, </w:t>
      </w:r>
      <w:r w:rsidRPr="000A4977">
        <w:rPr>
          <w:b/>
          <w:color w:val="FF0000"/>
          <w:sz w:val="18"/>
          <w:szCs w:val="18"/>
        </w:rPr>
        <w:t>Enstitü anabilim/</w:t>
      </w:r>
      <w:proofErr w:type="spellStart"/>
      <w:r w:rsidRPr="000A4977">
        <w:rPr>
          <w:rStyle w:val="spelle"/>
          <w:b/>
          <w:color w:val="FF0000"/>
          <w:sz w:val="18"/>
          <w:szCs w:val="18"/>
        </w:rPr>
        <w:t>anasanat</w:t>
      </w:r>
      <w:proofErr w:type="spellEnd"/>
      <w:r w:rsidRPr="000A4977">
        <w:rPr>
          <w:b/>
          <w:color w:val="FF0000"/>
          <w:sz w:val="18"/>
          <w:szCs w:val="18"/>
        </w:rPr>
        <w:t> dalı kurul kararı, ilgili anabilim/</w:t>
      </w:r>
      <w:proofErr w:type="spellStart"/>
      <w:r w:rsidRPr="000A4977">
        <w:rPr>
          <w:rStyle w:val="spelle"/>
          <w:b/>
          <w:color w:val="FF0000"/>
          <w:sz w:val="18"/>
          <w:szCs w:val="18"/>
        </w:rPr>
        <w:t>anasanat</w:t>
      </w:r>
      <w:proofErr w:type="spellEnd"/>
      <w:r w:rsidRPr="000A4977">
        <w:rPr>
          <w:b/>
          <w:color w:val="FF0000"/>
          <w:sz w:val="18"/>
          <w:szCs w:val="18"/>
        </w:rPr>
        <w:t> dalı başkanlığının teklifi ve Enstitü Yönetim Kurulu kararı</w:t>
      </w:r>
      <w:r>
        <w:rPr>
          <w:color w:val="000000"/>
          <w:sz w:val="18"/>
          <w:szCs w:val="18"/>
        </w:rPr>
        <w:t xml:space="preserve"> ile atanır. Yüksek lisans programları için en geç birinci yarıyılın sonuna kadar, doktora/sanatta yeterlik programlarında ise en geç ikinci yarıyılın sonuna kadar tez danışmanı atanır. Tez danışmanı atanıncaya kadar danışmanlık anabilim/</w:t>
      </w:r>
      <w:proofErr w:type="spellStart"/>
      <w:r>
        <w:rPr>
          <w:rStyle w:val="spelle"/>
          <w:color w:val="000000"/>
          <w:sz w:val="18"/>
          <w:szCs w:val="18"/>
        </w:rPr>
        <w:t>anasanat</w:t>
      </w:r>
      <w:proofErr w:type="spellEnd"/>
      <w:r>
        <w:rPr>
          <w:color w:val="000000"/>
          <w:sz w:val="18"/>
          <w:szCs w:val="18"/>
        </w:rPr>
        <w:t> dalı başkanı tarafından yürütülür.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(2) Danışman, öğrencinin kayıtlı olduğu anabilim/</w:t>
      </w:r>
      <w:proofErr w:type="spellStart"/>
      <w:r>
        <w:rPr>
          <w:rStyle w:val="spelle"/>
          <w:color w:val="000000"/>
          <w:sz w:val="18"/>
          <w:szCs w:val="18"/>
        </w:rPr>
        <w:t>anasanat</w:t>
      </w:r>
      <w:proofErr w:type="spellEnd"/>
      <w:r>
        <w:rPr>
          <w:color w:val="000000"/>
          <w:sz w:val="18"/>
          <w:szCs w:val="18"/>
        </w:rPr>
        <w:t> dalında görev yapan veya doktorası ve/veya doçentliği ilgili programın alanından olan öğretim üyeleri arasından atanır. Öğrencinin kayıtlı olduğu anabilim/</w:t>
      </w:r>
      <w:proofErr w:type="spellStart"/>
      <w:r>
        <w:rPr>
          <w:rStyle w:val="spelle"/>
          <w:color w:val="000000"/>
          <w:sz w:val="18"/>
          <w:szCs w:val="18"/>
        </w:rPr>
        <w:t>anasanat</w:t>
      </w:r>
      <w:proofErr w:type="spellEnd"/>
      <w:r>
        <w:rPr>
          <w:color w:val="000000"/>
          <w:sz w:val="18"/>
          <w:szCs w:val="18"/>
        </w:rPr>
        <w:t> dalı </w:t>
      </w:r>
      <w:proofErr w:type="spellStart"/>
      <w:r>
        <w:rPr>
          <w:rStyle w:val="spelle"/>
          <w:color w:val="000000"/>
          <w:sz w:val="18"/>
          <w:szCs w:val="18"/>
        </w:rPr>
        <w:t>disiplinlerarası</w:t>
      </w:r>
      <w:proofErr w:type="spellEnd"/>
      <w:r>
        <w:rPr>
          <w:color w:val="000000"/>
          <w:sz w:val="18"/>
          <w:szCs w:val="18"/>
        </w:rPr>
        <w:t> ise danışman o alanla doğrudan ilişkili lisansüstü eğitim programında ders veren öğretim üyeleri arasından atanır.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(3) Tez/sanat çalışması niteliğinin birden fazla danışman gerektirdiği durumlarda, birinci danışmanın gerekçeli raporu, anabilim/</w:t>
      </w:r>
      <w:proofErr w:type="spellStart"/>
      <w:r>
        <w:rPr>
          <w:rStyle w:val="spelle"/>
          <w:color w:val="000000"/>
          <w:sz w:val="18"/>
          <w:szCs w:val="18"/>
        </w:rPr>
        <w:t>anasanat</w:t>
      </w:r>
      <w:proofErr w:type="spellEnd"/>
      <w:r>
        <w:rPr>
          <w:color w:val="000000"/>
          <w:sz w:val="18"/>
          <w:szCs w:val="18"/>
        </w:rPr>
        <w:t> dalı başkanlığının önerisi ve Enstitü Yönetim Kurulunun kararı ile Üniversite içinden veya dışından en az doktora/sanatta yeterlik derecesine sahip ikinci danışman atanabilir. Tez öğrencileri için birinci danışmana tez çalışması ve uzmanlık alan dersi kapsamında ücret ödenmektedir. Ancak ikinci danışmana bu kapsamda ücret ödenecek ise birinci danışmanın Enstitüye dönem başında gerekçeli raporla durumu bildirmesi ve Enstitü Yönetim Kurulu kararı ile ikinci danışmanın ek ders ücret görevlendirmesi yapılabilir.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w:t>
      </w:r>
      <w:bookmarkStart w:id="0" w:name="_GoBack"/>
      <w:r w:rsidRPr="00F6560F">
        <w:rPr>
          <w:color w:val="FF0000"/>
          <w:sz w:val="18"/>
          <w:szCs w:val="18"/>
        </w:rPr>
        <w:t>Öğrencinin başvurusu ve/veya danışmanının gerekçeli önerisi, anabilim/</w:t>
      </w:r>
      <w:proofErr w:type="spellStart"/>
      <w:r w:rsidRPr="00F6560F">
        <w:rPr>
          <w:rStyle w:val="spelle"/>
          <w:color w:val="FF0000"/>
          <w:sz w:val="18"/>
          <w:szCs w:val="18"/>
        </w:rPr>
        <w:t>anasanat</w:t>
      </w:r>
      <w:proofErr w:type="spellEnd"/>
      <w:r w:rsidRPr="00F6560F">
        <w:rPr>
          <w:color w:val="FF0000"/>
          <w:sz w:val="18"/>
          <w:szCs w:val="18"/>
        </w:rPr>
        <w:t> dalı başkanlığının teklifi ve Enstitü Yönetim Kurulunun kararıyla danışman değişikliği yapılabilir</w:t>
      </w:r>
      <w:bookmarkEnd w:id="0"/>
      <w:r>
        <w:rPr>
          <w:color w:val="000000"/>
          <w:sz w:val="18"/>
          <w:szCs w:val="18"/>
        </w:rPr>
        <w:t>. Danışman değişikliği yapılması durumunda, aynı usul ile yeni danışman atanır. Yeni danışman atanıncaya kadar bu görev anabilim/</w:t>
      </w:r>
      <w:proofErr w:type="spellStart"/>
      <w:r>
        <w:rPr>
          <w:rStyle w:val="spelle"/>
          <w:color w:val="000000"/>
          <w:sz w:val="18"/>
          <w:szCs w:val="18"/>
        </w:rPr>
        <w:t>anasanat</w:t>
      </w:r>
      <w:proofErr w:type="spellEnd"/>
      <w:r>
        <w:rPr>
          <w:color w:val="000000"/>
          <w:sz w:val="18"/>
          <w:szCs w:val="18"/>
        </w:rPr>
        <w:t> dalı başkanı tarafından yürütülür.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(5) YÖK üst kurullarında görev alan, üniversiteler arasında yer değiştiren ve emekliye ayrılan öğretim üyelerinin başlamış olan danışmanlıkları talep etmeleri halinde süreç tamamlanıncaya kadar devam eder.</w:t>
      </w:r>
    </w:p>
    <w:p w:rsidR="000A4977" w:rsidRDefault="000A4977" w:rsidP="000A4977">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(6) Lisansüstü program kontenjanları, YÖK tarafından belirlenen lisansüstü programlarda görev alabilecek öğretim üyesi sayısı ve mevcut öğretim üyesi başına düşen öğrenci sayısı dikkate alınarak, tezli yüksek lisans ve doktora/sanatta yeterlik programları için öğretim üyesi başına düşen tez danışmanlığı en fazla 14, tezsiz yüksek lisans programları için ise tezli yüksek lisans ve doktora/sanatta yeterlik programları hariç en fazla 16 öğrenci düşecek şekilde belirlenir. </w:t>
      </w:r>
      <w:proofErr w:type="gramEnd"/>
      <w:r>
        <w:rPr>
          <w:color w:val="000000"/>
          <w:sz w:val="18"/>
          <w:szCs w:val="18"/>
        </w:rPr>
        <w:t>Ancak YÖK ile yapılan protokol </w:t>
      </w:r>
      <w:proofErr w:type="gramStart"/>
      <w:r>
        <w:rPr>
          <w:rStyle w:val="grame"/>
          <w:color w:val="000000"/>
          <w:sz w:val="18"/>
          <w:szCs w:val="18"/>
        </w:rPr>
        <w:t>dahilinde</w:t>
      </w:r>
      <w:proofErr w:type="gramEnd"/>
      <w:r>
        <w:rPr>
          <w:color w:val="000000"/>
          <w:sz w:val="18"/>
          <w:szCs w:val="18"/>
        </w:rPr>
        <w:t> ve Üniversite sanayi iş birliği ve Üniversitenin ihtisas alanı çerçevesinde yürütülen lisansüstü programlar için bu kontenjan %50’ye kadar artırılabilir.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(7) İki yarıyıl üst üste veya aralıklı olarak üç kez kaydını yenilemeyen öğrenci/öğrencilerinin kaydını yenilemeyen danışmanların danışmanlık görevleri sona erer. Bu öğrenciler havuzda toplanır ve danışmanlıkları yeni bir danışman atanıncaya kadar anabilim/</w:t>
      </w:r>
      <w:proofErr w:type="spellStart"/>
      <w:r>
        <w:rPr>
          <w:rStyle w:val="spelle"/>
          <w:color w:val="000000"/>
          <w:sz w:val="18"/>
          <w:szCs w:val="18"/>
        </w:rPr>
        <w:t>anasanat</w:t>
      </w:r>
      <w:proofErr w:type="spellEnd"/>
      <w:r>
        <w:rPr>
          <w:color w:val="000000"/>
          <w:sz w:val="18"/>
          <w:szCs w:val="18"/>
        </w:rPr>
        <w:t> dalı başkanınca yürütülür.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(8) Havuzda bulunan lisansüstü öğrenciler, eğitim-öğretimine devam etmek istemeleri durumunda kayıtlı bulunduğu lisansüstü programın anabilim/</w:t>
      </w:r>
      <w:proofErr w:type="spellStart"/>
      <w:r>
        <w:rPr>
          <w:rStyle w:val="spelle"/>
          <w:color w:val="000000"/>
          <w:sz w:val="18"/>
          <w:szCs w:val="18"/>
        </w:rPr>
        <w:t>anasanat</w:t>
      </w:r>
      <w:proofErr w:type="spellEnd"/>
      <w:r>
        <w:rPr>
          <w:color w:val="000000"/>
          <w:sz w:val="18"/>
          <w:szCs w:val="18"/>
        </w:rPr>
        <w:t> dalı başkanlığına dilekçe ile başvuruda bulunur. Bu öğrencilere ilgili anabilim/</w:t>
      </w:r>
      <w:proofErr w:type="spellStart"/>
      <w:r>
        <w:rPr>
          <w:rStyle w:val="spelle"/>
          <w:color w:val="000000"/>
          <w:sz w:val="18"/>
          <w:szCs w:val="18"/>
        </w:rPr>
        <w:t>anasanat</w:t>
      </w:r>
      <w:proofErr w:type="spellEnd"/>
      <w:r>
        <w:rPr>
          <w:color w:val="000000"/>
          <w:sz w:val="18"/>
          <w:szCs w:val="18"/>
        </w:rPr>
        <w:t> dalı kurul kararı, anabilim/</w:t>
      </w:r>
      <w:proofErr w:type="spellStart"/>
      <w:r>
        <w:rPr>
          <w:rStyle w:val="spelle"/>
          <w:color w:val="000000"/>
          <w:sz w:val="18"/>
          <w:szCs w:val="18"/>
        </w:rPr>
        <w:t>anasanat</w:t>
      </w:r>
      <w:proofErr w:type="spellEnd"/>
      <w:r>
        <w:rPr>
          <w:color w:val="000000"/>
          <w:sz w:val="18"/>
          <w:szCs w:val="18"/>
        </w:rPr>
        <w:t> dalı başkanlığının teklifi ve Enstitü Yönetim Kurulu kararı ile danışman ataması yapılır.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(9) Danışmanlık görevini yürütemeyecek düzeyde hastalık veya altı aydan fazla yurt dışı görevlendirmelerinde bulunan danışmanların yerine anabilim/</w:t>
      </w:r>
      <w:proofErr w:type="spellStart"/>
      <w:r>
        <w:rPr>
          <w:rStyle w:val="spelle"/>
          <w:color w:val="000000"/>
          <w:sz w:val="18"/>
          <w:szCs w:val="18"/>
        </w:rPr>
        <w:t>anasanat</w:t>
      </w:r>
      <w:proofErr w:type="spellEnd"/>
      <w:r>
        <w:rPr>
          <w:color w:val="000000"/>
          <w:sz w:val="18"/>
          <w:szCs w:val="18"/>
        </w:rPr>
        <w:t> dalı kurulunun kararı, anabilim/</w:t>
      </w:r>
      <w:proofErr w:type="spellStart"/>
      <w:r>
        <w:rPr>
          <w:rStyle w:val="spelle"/>
          <w:color w:val="000000"/>
          <w:sz w:val="18"/>
          <w:szCs w:val="18"/>
        </w:rPr>
        <w:t>anasanat</w:t>
      </w:r>
      <w:proofErr w:type="spellEnd"/>
      <w:r>
        <w:rPr>
          <w:color w:val="000000"/>
          <w:sz w:val="18"/>
          <w:szCs w:val="18"/>
        </w:rPr>
        <w:t> dalı başkanının teklifi ve Enstitü Yönetim Kurulu onayı ile yeni bir danışman atanır.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(10) Danışmanın izin, hastalık, yurt dışı seyahat ve benzeri nedenlerle mazeretli olması halinde, bu süreçte onaylanması gereken belge ve işlemler anabilim/</w:t>
      </w:r>
      <w:proofErr w:type="spellStart"/>
      <w:r>
        <w:rPr>
          <w:rStyle w:val="spelle"/>
          <w:color w:val="000000"/>
          <w:sz w:val="18"/>
          <w:szCs w:val="18"/>
        </w:rPr>
        <w:t>anasanat</w:t>
      </w:r>
      <w:proofErr w:type="spellEnd"/>
      <w:r>
        <w:rPr>
          <w:color w:val="000000"/>
          <w:sz w:val="18"/>
          <w:szCs w:val="18"/>
        </w:rPr>
        <w:t> dalı başkanınca yürütülür.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(11) Danışman, danışmanı olduğu öğrencinin yazışmalarının ve bilimsel çalışmalarının usulüne uygun yürütülmesinde Enstitüye karşı sorumludur. Danışmanı, öğrenciyi, öğrenimi süresince alacağı derslere yönlendirmek, bu derslere devamını ve öğrenim durumunu sürekli izlemek, atamayı izleyen dönemden itibaren öğrencinin ders kaydını öğrenci bilgi sisteminde onaylamak, öğrencinin tez önerisini belirleyerek, öğrencinin tez çalışmasını yönetmek ve yönlendirmekle yükümlüdür. Bu hususlara riayet etmeyen danışmanların yerine anabilim/</w:t>
      </w:r>
      <w:proofErr w:type="spellStart"/>
      <w:r>
        <w:rPr>
          <w:rStyle w:val="spelle"/>
          <w:color w:val="000000"/>
          <w:sz w:val="18"/>
          <w:szCs w:val="18"/>
        </w:rPr>
        <w:t>anasanat</w:t>
      </w:r>
      <w:proofErr w:type="spellEnd"/>
      <w:r>
        <w:rPr>
          <w:color w:val="000000"/>
          <w:sz w:val="18"/>
          <w:szCs w:val="18"/>
        </w:rPr>
        <w:t> dalı başkanının görüşü ve Enstitü Yönetim Kurulunun kararı ile yeni bir danışman atanır.</w:t>
      </w:r>
    </w:p>
    <w:p w:rsidR="000A4977" w:rsidRDefault="000A4977" w:rsidP="000A4977">
      <w:pPr>
        <w:pStyle w:val="metin"/>
        <w:spacing w:before="0" w:beforeAutospacing="0" w:after="0" w:afterAutospacing="0" w:line="240" w:lineRule="atLeast"/>
        <w:ind w:firstLine="566"/>
        <w:jc w:val="both"/>
        <w:rPr>
          <w:color w:val="000000"/>
          <w:sz w:val="19"/>
          <w:szCs w:val="19"/>
        </w:rPr>
      </w:pPr>
      <w:r>
        <w:rPr>
          <w:color w:val="000000"/>
          <w:sz w:val="18"/>
          <w:szCs w:val="18"/>
        </w:rPr>
        <w:t>(12) Öğrenci ile birinci dereceden akrabalık ilişkisi olanlar, o öğrencinin danışmanı olamaz, sınav jürilerinde ve tez izleme komitesinde görev alamazlar.</w:t>
      </w:r>
    </w:p>
    <w:p w:rsidR="000A4977" w:rsidRPr="000A4977" w:rsidRDefault="000A4977" w:rsidP="000F2812">
      <w:pPr>
        <w:ind w:left="-709"/>
        <w:rPr>
          <w:rFonts w:ascii="Times New Roman" w:hAnsi="Times New Roman" w:cs="Times New Roman"/>
        </w:rPr>
      </w:pPr>
    </w:p>
    <w:sectPr w:rsidR="000A4977" w:rsidRPr="000A4977"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D5" w:rsidRDefault="00FC4AD5" w:rsidP="002B1213">
      <w:pPr>
        <w:spacing w:after="0" w:line="240" w:lineRule="auto"/>
      </w:pPr>
      <w:r>
        <w:separator/>
      </w:r>
    </w:p>
  </w:endnote>
  <w:endnote w:type="continuationSeparator" w:id="0">
    <w:p w:rsidR="00FC4AD5" w:rsidRDefault="00FC4AD5"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04</w:t>
    </w:r>
    <w:r w:rsidR="00EE7ADE">
      <w:rPr>
        <w:rFonts w:ascii="Times New Roman" w:hAnsi="Times New Roman" w:cs="Times New Roman"/>
        <w:sz w:val="24"/>
        <w:szCs w:val="24"/>
      </w:rPr>
      <w:t>2</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D5" w:rsidRDefault="00FC4AD5" w:rsidP="002B1213">
      <w:pPr>
        <w:spacing w:after="0" w:line="240" w:lineRule="auto"/>
      </w:pPr>
      <w:r>
        <w:separator/>
      </w:r>
    </w:p>
  </w:footnote>
  <w:footnote w:type="continuationSeparator" w:id="0">
    <w:p w:rsidR="00FC4AD5" w:rsidRDefault="00FC4AD5"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7C5669" w:rsidP="007728A3">
          <w:pPr>
            <w:spacing w:after="0"/>
            <w:jc w:val="center"/>
          </w:pPr>
          <w:r>
            <w:rPr>
              <w:noProof/>
            </w:rPr>
            <w:drawing>
              <wp:inline distT="0" distB="0" distL="0" distR="0" wp14:anchorId="717DC8D9">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27710B" w:rsidP="00D43369">
          <w:pPr>
            <w:pStyle w:val="AralkYok"/>
            <w:jc w:val="center"/>
            <w:rPr>
              <w:rFonts w:ascii="Times New Roman" w:hAnsi="Times New Roman" w:cs="Times New Roman"/>
              <w:b/>
              <w:sz w:val="32"/>
              <w:szCs w:val="32"/>
            </w:rPr>
          </w:pPr>
          <w:r w:rsidRPr="0027710B">
            <w:rPr>
              <w:rFonts w:ascii="Times New Roman" w:hAnsi="Times New Roman" w:cs="Times New Roman"/>
              <w:b/>
              <w:sz w:val="32"/>
              <w:szCs w:val="32"/>
            </w:rPr>
            <w:t>DANIŞMAN DEĞİŞİKLİĞİ TALEP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28C8"/>
    <w:multiLevelType w:val="hybridMultilevel"/>
    <w:tmpl w:val="3126E23C"/>
    <w:lvl w:ilvl="0" w:tplc="DBE69E0E">
      <w:start w:val="1"/>
      <w:numFmt w:val="decimal"/>
      <w:lvlText w:val="%1."/>
      <w:lvlJc w:val="left"/>
      <w:pPr>
        <w:ind w:left="502" w:hanging="360"/>
      </w:pPr>
      <w:rPr>
        <w:rFonts w:ascii="Arial" w:hAnsi="Arial" w:cs="Arial"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00679"/>
    <w:rsid w:val="00041A26"/>
    <w:rsid w:val="00087F45"/>
    <w:rsid w:val="000A4977"/>
    <w:rsid w:val="000B08A5"/>
    <w:rsid w:val="000D1230"/>
    <w:rsid w:val="000D33D0"/>
    <w:rsid w:val="000F2812"/>
    <w:rsid w:val="00101B5F"/>
    <w:rsid w:val="0010544C"/>
    <w:rsid w:val="00116C37"/>
    <w:rsid w:val="001A1AA0"/>
    <w:rsid w:val="00204144"/>
    <w:rsid w:val="00223640"/>
    <w:rsid w:val="00237018"/>
    <w:rsid w:val="002467B9"/>
    <w:rsid w:val="00256544"/>
    <w:rsid w:val="00263E03"/>
    <w:rsid w:val="0027103F"/>
    <w:rsid w:val="0027710B"/>
    <w:rsid w:val="00294018"/>
    <w:rsid w:val="002B1213"/>
    <w:rsid w:val="002D31E4"/>
    <w:rsid w:val="002E3885"/>
    <w:rsid w:val="00306849"/>
    <w:rsid w:val="00361C81"/>
    <w:rsid w:val="0038132F"/>
    <w:rsid w:val="003821D2"/>
    <w:rsid w:val="003972E8"/>
    <w:rsid w:val="0041018A"/>
    <w:rsid w:val="004155D2"/>
    <w:rsid w:val="00467F06"/>
    <w:rsid w:val="00500CB3"/>
    <w:rsid w:val="005738EF"/>
    <w:rsid w:val="005C4242"/>
    <w:rsid w:val="005F2C59"/>
    <w:rsid w:val="0061730D"/>
    <w:rsid w:val="00621690"/>
    <w:rsid w:val="00671FBD"/>
    <w:rsid w:val="006A3E34"/>
    <w:rsid w:val="006B10CA"/>
    <w:rsid w:val="006B725D"/>
    <w:rsid w:val="006D11E2"/>
    <w:rsid w:val="00721DEB"/>
    <w:rsid w:val="00765B4A"/>
    <w:rsid w:val="007728A3"/>
    <w:rsid w:val="007B7121"/>
    <w:rsid w:val="007C5669"/>
    <w:rsid w:val="007D5A27"/>
    <w:rsid w:val="00811BAD"/>
    <w:rsid w:val="00812615"/>
    <w:rsid w:val="0082011E"/>
    <w:rsid w:val="008325CB"/>
    <w:rsid w:val="00856495"/>
    <w:rsid w:val="00864F55"/>
    <w:rsid w:val="008F0749"/>
    <w:rsid w:val="00925EE7"/>
    <w:rsid w:val="00931CC4"/>
    <w:rsid w:val="00940A5E"/>
    <w:rsid w:val="009A2DD4"/>
    <w:rsid w:val="009A4AFB"/>
    <w:rsid w:val="009A7A1D"/>
    <w:rsid w:val="00A159ED"/>
    <w:rsid w:val="00AC5140"/>
    <w:rsid w:val="00AE46C5"/>
    <w:rsid w:val="00AE5D2A"/>
    <w:rsid w:val="00AE7B00"/>
    <w:rsid w:val="00AF6DFA"/>
    <w:rsid w:val="00B03463"/>
    <w:rsid w:val="00B678EE"/>
    <w:rsid w:val="00B74D03"/>
    <w:rsid w:val="00B925AF"/>
    <w:rsid w:val="00C505A9"/>
    <w:rsid w:val="00C53021"/>
    <w:rsid w:val="00C63A21"/>
    <w:rsid w:val="00CF2C08"/>
    <w:rsid w:val="00D15D4A"/>
    <w:rsid w:val="00D3101D"/>
    <w:rsid w:val="00D43369"/>
    <w:rsid w:val="00D8208E"/>
    <w:rsid w:val="00DA0972"/>
    <w:rsid w:val="00DC1112"/>
    <w:rsid w:val="00E505FA"/>
    <w:rsid w:val="00E5530F"/>
    <w:rsid w:val="00E826B2"/>
    <w:rsid w:val="00EC54FC"/>
    <w:rsid w:val="00ED0A62"/>
    <w:rsid w:val="00ED7F27"/>
    <w:rsid w:val="00EE7ADE"/>
    <w:rsid w:val="00F22B26"/>
    <w:rsid w:val="00F6560F"/>
    <w:rsid w:val="00FA131F"/>
    <w:rsid w:val="00FC4AD5"/>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0A4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0A4977"/>
  </w:style>
  <w:style w:type="character" w:customStyle="1" w:styleId="grame">
    <w:name w:val="grame"/>
    <w:basedOn w:val="VarsaylanParagrafYazTipi"/>
    <w:rsid w:val="000A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0A4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0A4977"/>
  </w:style>
  <w:style w:type="character" w:customStyle="1" w:styleId="grame">
    <w:name w:val="grame"/>
    <w:basedOn w:val="VarsaylanParagrafYazTipi"/>
    <w:rsid w:val="000A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287979318">
      <w:bodyDiv w:val="1"/>
      <w:marLeft w:val="0"/>
      <w:marRight w:val="0"/>
      <w:marTop w:val="0"/>
      <w:marBottom w:val="0"/>
      <w:divBdr>
        <w:top w:val="none" w:sz="0" w:space="0" w:color="auto"/>
        <w:left w:val="none" w:sz="0" w:space="0" w:color="auto"/>
        <w:bottom w:val="none" w:sz="0" w:space="0" w:color="auto"/>
        <w:right w:val="none" w:sz="0" w:space="0" w:color="auto"/>
      </w:divBdr>
    </w:div>
    <w:div w:id="129355839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E6445-617F-4996-B1FC-AAFB7688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910</Words>
  <Characters>5188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17</cp:revision>
  <dcterms:created xsi:type="dcterms:W3CDTF">2021-04-08T09:39:00Z</dcterms:created>
  <dcterms:modified xsi:type="dcterms:W3CDTF">2023-09-23T11:38:00Z</dcterms:modified>
</cp:coreProperties>
</file>