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275965" w:rsidTr="001A31C3">
        <w:trPr>
          <w:trHeight w:val="10865"/>
        </w:trPr>
        <w:tc>
          <w:tcPr>
            <w:tcW w:w="10349" w:type="dxa"/>
          </w:tcPr>
          <w:p w:rsidR="00FA131F" w:rsidRPr="00275965" w:rsidRDefault="00FA131F" w:rsidP="00FA131F">
            <w:pPr>
              <w:spacing w:after="0" w:line="240" w:lineRule="auto"/>
              <w:jc w:val="center"/>
              <w:rPr>
                <w:rFonts w:ascii="Times New Roman" w:eastAsia="Times New Roman" w:hAnsi="Times New Roman" w:cs="Times New Roman"/>
                <w:color w:val="000000"/>
              </w:rPr>
            </w:pPr>
          </w:p>
          <w:p w:rsidR="00FA131F" w:rsidRPr="00275965" w:rsidRDefault="00C77D43" w:rsidP="00FA131F">
            <w:pPr>
              <w:spacing w:after="0" w:line="240" w:lineRule="auto"/>
              <w:jc w:val="center"/>
              <w:rPr>
                <w:rFonts w:ascii="Times New Roman" w:eastAsia="Times New Roman" w:hAnsi="Times New Roman" w:cs="Times New Roman"/>
                <w:color w:val="000000"/>
              </w:rPr>
            </w:pPr>
            <w:r w:rsidRPr="00275965">
              <w:rPr>
                <w:rFonts w:ascii="Times New Roman" w:eastAsia="Times New Roman" w:hAnsi="Times New Roman" w:cs="Times New Roman"/>
                <w:color w:val="000000"/>
              </w:rPr>
              <w:t>T.C.</w:t>
            </w:r>
          </w:p>
          <w:p w:rsidR="00C77D43" w:rsidRPr="00275965" w:rsidRDefault="00C77D43" w:rsidP="00FA131F">
            <w:pPr>
              <w:spacing w:after="0" w:line="240" w:lineRule="auto"/>
              <w:jc w:val="center"/>
              <w:rPr>
                <w:rFonts w:ascii="Times New Roman" w:eastAsia="Times New Roman" w:hAnsi="Times New Roman" w:cs="Times New Roman"/>
                <w:color w:val="000000"/>
              </w:rPr>
            </w:pPr>
            <w:r w:rsidRPr="00275965">
              <w:rPr>
                <w:rFonts w:ascii="Times New Roman" w:eastAsia="Times New Roman" w:hAnsi="Times New Roman" w:cs="Times New Roman"/>
                <w:color w:val="000000"/>
              </w:rPr>
              <w:t>YOZGAT BOZOK ÜNİVERSİTESİ</w:t>
            </w:r>
          </w:p>
          <w:p w:rsidR="00FA131F" w:rsidRPr="00275965" w:rsidRDefault="00FA131F" w:rsidP="00FA131F">
            <w:pPr>
              <w:spacing w:after="0" w:line="240" w:lineRule="auto"/>
              <w:jc w:val="center"/>
              <w:rPr>
                <w:rFonts w:ascii="Times New Roman" w:eastAsia="Times New Roman" w:hAnsi="Times New Roman" w:cs="Times New Roman"/>
                <w:color w:val="000000"/>
              </w:rPr>
            </w:pPr>
            <w:r w:rsidRPr="00275965">
              <w:rPr>
                <w:rFonts w:ascii="Times New Roman" w:eastAsia="Times New Roman" w:hAnsi="Times New Roman" w:cs="Times New Roman"/>
                <w:color w:val="000000"/>
              </w:rPr>
              <w:t>LİSANSÜSTÜ EĞİTİM ENSTİTÜSÜ</w:t>
            </w:r>
          </w:p>
          <w:p w:rsidR="00FA131F" w:rsidRPr="00275965" w:rsidRDefault="00B339E3" w:rsidP="00FA131F">
            <w:pPr>
              <w:spacing w:after="0" w:line="240" w:lineRule="auto"/>
              <w:jc w:val="center"/>
              <w:rPr>
                <w:rFonts w:ascii="Times New Roman" w:eastAsia="Times New Roman" w:hAnsi="Times New Roman" w:cs="Times New Roman"/>
                <w:color w:val="000000"/>
              </w:rPr>
            </w:pPr>
            <w:r w:rsidRPr="00275965">
              <w:rPr>
                <w:rFonts w:ascii="Times New Roman" w:eastAsia="Times New Roman" w:hAnsi="Times New Roman" w:cs="Times New Roman"/>
                <w:color w:val="000000"/>
              </w:rPr>
              <w:t>……………………</w:t>
            </w:r>
            <w:r w:rsidR="00AE7031">
              <w:rPr>
                <w:rFonts w:ascii="Times New Roman" w:eastAsia="Times New Roman" w:hAnsi="Times New Roman" w:cs="Times New Roman"/>
                <w:color w:val="000000"/>
              </w:rPr>
              <w:t>ANABİLİM DALI BAŞKANLIĞI</w:t>
            </w:r>
            <w:r w:rsidR="00FA131F" w:rsidRPr="00275965">
              <w:rPr>
                <w:rFonts w:ascii="Times New Roman" w:eastAsia="Times New Roman" w:hAnsi="Times New Roman" w:cs="Times New Roman"/>
                <w:color w:val="000000"/>
              </w:rPr>
              <w:t>NA</w:t>
            </w:r>
          </w:p>
          <w:p w:rsidR="00FA131F" w:rsidRPr="00275965" w:rsidRDefault="00FA131F" w:rsidP="00FA131F">
            <w:pPr>
              <w:spacing w:after="0" w:line="240" w:lineRule="auto"/>
              <w:jc w:val="center"/>
              <w:rPr>
                <w:rFonts w:ascii="Times New Roman" w:eastAsia="Times New Roman" w:hAnsi="Times New Roman" w:cs="Times New Roman"/>
                <w:color w:val="000000"/>
              </w:rPr>
            </w:pPr>
          </w:p>
          <w:p w:rsidR="00FA131F" w:rsidRPr="00275965" w:rsidRDefault="00FA131F" w:rsidP="00FA131F">
            <w:pPr>
              <w:spacing w:after="0" w:line="240" w:lineRule="auto"/>
              <w:jc w:val="both"/>
              <w:rPr>
                <w:rFonts w:ascii="Times New Roman" w:eastAsia="Times New Roman" w:hAnsi="Times New Roman" w:cs="Times New Roman"/>
                <w:color w:val="000000"/>
              </w:rPr>
            </w:pPr>
          </w:p>
          <w:p w:rsidR="00A46AE3" w:rsidRPr="00275965" w:rsidRDefault="00A46AE3" w:rsidP="00FA131F">
            <w:pPr>
              <w:spacing w:after="0" w:line="240" w:lineRule="auto"/>
              <w:jc w:val="both"/>
              <w:rPr>
                <w:rFonts w:ascii="Times New Roman" w:eastAsia="Times New Roman" w:hAnsi="Times New Roman" w:cs="Times New Roman"/>
                <w:color w:val="000000"/>
              </w:rPr>
            </w:pPr>
          </w:p>
          <w:p w:rsidR="005E0F76" w:rsidRPr="00275965" w:rsidRDefault="005E0F76" w:rsidP="005E0F76">
            <w:pPr>
              <w:spacing w:after="0" w:line="240" w:lineRule="auto"/>
              <w:jc w:val="both"/>
              <w:rPr>
                <w:rFonts w:ascii="Times New Roman" w:eastAsia="Times New Roman" w:hAnsi="Times New Roman" w:cs="Times New Roman"/>
              </w:rPr>
            </w:pPr>
            <w:r w:rsidRPr="00275965">
              <w:rPr>
                <w:rFonts w:ascii="Times New Roman" w:eastAsia="Times New Roman" w:hAnsi="Times New Roman" w:cs="Times New Roman"/>
              </w:rPr>
              <w:t>Anabilim Dalı</w:t>
            </w:r>
            <w:r w:rsidR="00A377CD" w:rsidRPr="00275965">
              <w:rPr>
                <w:rFonts w:ascii="Times New Roman" w:eastAsia="Times New Roman" w:hAnsi="Times New Roman" w:cs="Times New Roman"/>
              </w:rPr>
              <w:t>m</w:t>
            </w:r>
            <w:r w:rsidRPr="00275965">
              <w:rPr>
                <w:rFonts w:ascii="Times New Roman" w:eastAsia="Times New Roman" w:hAnsi="Times New Roman" w:cs="Times New Roman"/>
              </w:rPr>
              <w:t>ız Tezli Yüksek Lisans</w:t>
            </w:r>
            <w:r w:rsidR="004D3973" w:rsidRPr="00275965">
              <w:rPr>
                <w:rFonts w:ascii="Times New Roman" w:eastAsia="Times New Roman" w:hAnsi="Times New Roman" w:cs="Times New Roman"/>
              </w:rPr>
              <w:t>/Doktora</w:t>
            </w:r>
            <w:r w:rsidRPr="00275965">
              <w:rPr>
                <w:rFonts w:ascii="Times New Roman" w:eastAsia="Times New Roman" w:hAnsi="Times New Roman" w:cs="Times New Roman"/>
              </w:rPr>
              <w:t xml:space="preserve"> Programı </w:t>
            </w:r>
            <w:r w:rsidR="004515C6" w:rsidRPr="00275965">
              <w:rPr>
                <w:rFonts w:ascii="Times New Roman" w:eastAsia="Times New Roman" w:hAnsi="Times New Roman" w:cs="Times New Roman"/>
              </w:rPr>
              <w:t>………………….</w:t>
            </w:r>
            <w:r w:rsidR="002C2F6D" w:rsidRPr="00275965">
              <w:rPr>
                <w:rFonts w:ascii="Times New Roman" w:eastAsia="Times New Roman" w:hAnsi="Times New Roman" w:cs="Times New Roman"/>
              </w:rPr>
              <w:t xml:space="preserve"> </w:t>
            </w:r>
            <w:r w:rsidRPr="00275965">
              <w:rPr>
                <w:rFonts w:ascii="Times New Roman" w:eastAsia="Times New Roman" w:hAnsi="Times New Roman" w:cs="Times New Roman"/>
              </w:rPr>
              <w:t xml:space="preserve">numaralı </w:t>
            </w:r>
            <w:r w:rsidR="004515C6" w:rsidRPr="00275965">
              <w:rPr>
                <w:rFonts w:ascii="Times New Roman" w:eastAsia="Times New Roman" w:hAnsi="Times New Roman" w:cs="Times New Roman"/>
              </w:rPr>
              <w:t>……………………</w:t>
            </w:r>
            <w:r w:rsidR="00E659F8" w:rsidRPr="00275965">
              <w:rPr>
                <w:rFonts w:ascii="Times New Roman" w:eastAsia="Times New Roman" w:hAnsi="Times New Roman" w:cs="Times New Roman"/>
              </w:rPr>
              <w:t xml:space="preserve"> adlı </w:t>
            </w:r>
            <w:r w:rsidRPr="00275965">
              <w:rPr>
                <w:rFonts w:ascii="Times New Roman" w:eastAsia="Times New Roman" w:hAnsi="Times New Roman" w:cs="Times New Roman"/>
              </w:rPr>
              <w:t>öğrenci</w:t>
            </w:r>
            <w:r w:rsidR="00E659F8" w:rsidRPr="00275965">
              <w:rPr>
                <w:rFonts w:ascii="Times New Roman" w:eastAsia="Times New Roman" w:hAnsi="Times New Roman" w:cs="Times New Roman"/>
              </w:rPr>
              <w:t>nin tez</w:t>
            </w:r>
            <w:r w:rsidR="00F808D5" w:rsidRPr="00275965">
              <w:rPr>
                <w:rFonts w:ascii="Times New Roman" w:eastAsia="Times New Roman" w:hAnsi="Times New Roman" w:cs="Times New Roman"/>
              </w:rPr>
              <w:t xml:space="preserve"> danışmanıyım. Öğrenci tez</w:t>
            </w:r>
            <w:r w:rsidRPr="00275965">
              <w:rPr>
                <w:rFonts w:ascii="Times New Roman" w:eastAsia="Times New Roman" w:hAnsi="Times New Roman" w:cs="Times New Roman"/>
              </w:rPr>
              <w:t xml:space="preserve"> aşamasında olup, eğitim-öğretimi</w:t>
            </w:r>
            <w:r w:rsidR="004515C6" w:rsidRPr="00275965">
              <w:rPr>
                <w:rFonts w:ascii="Times New Roman" w:eastAsia="Times New Roman" w:hAnsi="Times New Roman" w:cs="Times New Roman"/>
              </w:rPr>
              <w:t>n</w:t>
            </w:r>
            <w:r w:rsidRPr="00275965">
              <w:rPr>
                <w:rFonts w:ascii="Times New Roman" w:eastAsia="Times New Roman" w:hAnsi="Times New Roman" w:cs="Times New Roman"/>
              </w:rPr>
              <w:t>e devam etmekte</w:t>
            </w:r>
            <w:r w:rsidR="00F808D5" w:rsidRPr="00275965">
              <w:rPr>
                <w:rFonts w:ascii="Times New Roman" w:eastAsia="Times New Roman" w:hAnsi="Times New Roman" w:cs="Times New Roman"/>
              </w:rPr>
              <w:t xml:space="preserve">dir. </w:t>
            </w:r>
          </w:p>
          <w:p w:rsidR="005E0F76" w:rsidRPr="00275965" w:rsidRDefault="004515C6" w:rsidP="005E0F76">
            <w:pPr>
              <w:spacing w:after="0" w:line="240" w:lineRule="auto"/>
              <w:jc w:val="both"/>
              <w:rPr>
                <w:rFonts w:ascii="Times New Roman" w:eastAsia="Times New Roman" w:hAnsi="Times New Roman" w:cs="Times New Roman"/>
              </w:rPr>
            </w:pPr>
            <w:r w:rsidRPr="00275965">
              <w:rPr>
                <w:rFonts w:ascii="Times New Roman" w:eastAsia="Times New Roman" w:hAnsi="Times New Roman" w:cs="Times New Roman"/>
              </w:rPr>
              <w:t>…………………………………………………………</w:t>
            </w:r>
            <w:r w:rsidR="001A31C3">
              <w:rPr>
                <w:rFonts w:ascii="Times New Roman" w:eastAsia="Times New Roman" w:hAnsi="Times New Roman" w:cs="Times New Roman"/>
              </w:rPr>
              <w:t>……………………………………………………................ ………………………………………………………………………………………………………………………… ………………………………………………………………………………………………………………………… ………………………….</w:t>
            </w:r>
            <w:r w:rsidR="002C2F6D" w:rsidRPr="00275965">
              <w:rPr>
                <w:rFonts w:ascii="Times New Roman" w:eastAsia="Times New Roman" w:hAnsi="Times New Roman" w:cs="Times New Roman"/>
              </w:rPr>
              <w:t xml:space="preserve"> </w:t>
            </w:r>
            <w:r w:rsidR="001A31C3">
              <w:rPr>
                <w:rFonts w:ascii="Times New Roman" w:eastAsia="Times New Roman" w:hAnsi="Times New Roman" w:cs="Times New Roman"/>
              </w:rPr>
              <w:t>gerekçes</w:t>
            </w:r>
            <w:r w:rsidR="005E0F76" w:rsidRPr="00275965">
              <w:rPr>
                <w:rFonts w:ascii="Times New Roman" w:eastAsia="Times New Roman" w:hAnsi="Times New Roman" w:cs="Times New Roman"/>
              </w:rPr>
              <w:t xml:space="preserve">iyle </w:t>
            </w:r>
            <w:r w:rsidRPr="00275965">
              <w:rPr>
                <w:rFonts w:ascii="Times New Roman" w:eastAsia="Times New Roman" w:hAnsi="Times New Roman" w:cs="Times New Roman"/>
              </w:rPr>
              <w:t>……………….</w:t>
            </w:r>
            <w:r w:rsidR="002C2F6D" w:rsidRPr="00275965">
              <w:rPr>
                <w:rFonts w:ascii="Times New Roman" w:eastAsia="Times New Roman" w:hAnsi="Times New Roman" w:cs="Times New Roman"/>
              </w:rPr>
              <w:t xml:space="preserve"> </w:t>
            </w:r>
            <w:r w:rsidR="005E0F76" w:rsidRPr="00275965">
              <w:rPr>
                <w:rFonts w:ascii="Times New Roman" w:eastAsia="Times New Roman" w:hAnsi="Times New Roman" w:cs="Times New Roman"/>
              </w:rPr>
              <w:t xml:space="preserve">Üniversitesi </w:t>
            </w:r>
            <w:r w:rsidRPr="00275965">
              <w:rPr>
                <w:rFonts w:ascii="Times New Roman" w:eastAsia="Times New Roman" w:hAnsi="Times New Roman" w:cs="Times New Roman"/>
              </w:rPr>
              <w:t>…………..</w:t>
            </w:r>
            <w:r w:rsidR="002C2F6D" w:rsidRPr="00275965">
              <w:rPr>
                <w:rFonts w:ascii="Times New Roman" w:eastAsia="Times New Roman" w:hAnsi="Times New Roman" w:cs="Times New Roman"/>
              </w:rPr>
              <w:t xml:space="preserve"> Fakültesi </w:t>
            </w:r>
            <w:r w:rsidRPr="00275965">
              <w:rPr>
                <w:rFonts w:ascii="Times New Roman" w:eastAsia="Times New Roman" w:hAnsi="Times New Roman" w:cs="Times New Roman"/>
              </w:rPr>
              <w:t>…………………….</w:t>
            </w:r>
            <w:r w:rsidR="002C2F6D" w:rsidRPr="00275965">
              <w:rPr>
                <w:rFonts w:ascii="Times New Roman" w:eastAsia="Times New Roman" w:hAnsi="Times New Roman" w:cs="Times New Roman"/>
              </w:rPr>
              <w:t xml:space="preserve"> </w:t>
            </w:r>
            <w:r w:rsidR="005E0F76" w:rsidRPr="00275965">
              <w:rPr>
                <w:rFonts w:ascii="Times New Roman" w:eastAsia="Times New Roman" w:hAnsi="Times New Roman" w:cs="Times New Roman"/>
              </w:rPr>
              <w:t xml:space="preserve">Anabilim Dalı öğretim üyesi </w:t>
            </w:r>
            <w:r w:rsidRPr="00275965">
              <w:rPr>
                <w:rFonts w:ascii="Times New Roman" w:eastAsia="Times New Roman" w:hAnsi="Times New Roman" w:cs="Times New Roman"/>
              </w:rPr>
              <w:t>………………………….</w:t>
            </w:r>
            <w:r w:rsidR="002C2F6D" w:rsidRPr="00275965">
              <w:rPr>
                <w:rFonts w:ascii="Times New Roman" w:eastAsia="Times New Roman" w:hAnsi="Times New Roman" w:cs="Times New Roman"/>
              </w:rPr>
              <w:t xml:space="preserve">’ın </w:t>
            </w:r>
            <w:r w:rsidR="005E0F76" w:rsidRPr="00275965">
              <w:rPr>
                <w:rFonts w:ascii="Times New Roman" w:eastAsia="Times New Roman" w:hAnsi="Times New Roman" w:cs="Times New Roman"/>
              </w:rPr>
              <w:t>ikinci</w:t>
            </w:r>
            <w:r w:rsidR="00A97CB3" w:rsidRPr="00275965">
              <w:rPr>
                <w:rFonts w:ascii="Times New Roman" w:eastAsia="Times New Roman" w:hAnsi="Times New Roman" w:cs="Times New Roman"/>
              </w:rPr>
              <w:t xml:space="preserve"> Tez Danışmanı olarak atanmasını istiyorum.</w:t>
            </w:r>
          </w:p>
          <w:p w:rsidR="00E659F8" w:rsidRPr="00275965" w:rsidRDefault="00E659F8" w:rsidP="00E659F8">
            <w:pPr>
              <w:spacing w:after="0" w:line="240" w:lineRule="auto"/>
              <w:jc w:val="both"/>
              <w:rPr>
                <w:rFonts w:ascii="Times New Roman" w:eastAsia="Times New Roman" w:hAnsi="Times New Roman" w:cs="Times New Roman"/>
                <w:color w:val="000000"/>
              </w:rPr>
            </w:pPr>
          </w:p>
          <w:p w:rsidR="00E659F8" w:rsidRPr="00275965" w:rsidRDefault="00E659F8" w:rsidP="005E0F76">
            <w:pPr>
              <w:spacing w:after="0" w:line="240" w:lineRule="auto"/>
              <w:jc w:val="both"/>
              <w:rPr>
                <w:rFonts w:ascii="Times New Roman" w:eastAsia="Times New Roman" w:hAnsi="Times New Roman" w:cs="Times New Roman"/>
              </w:rPr>
            </w:pPr>
          </w:p>
          <w:p w:rsidR="00FA131F" w:rsidRPr="00275965" w:rsidRDefault="00FA131F" w:rsidP="00FA131F">
            <w:pPr>
              <w:spacing w:after="0" w:line="240" w:lineRule="auto"/>
              <w:jc w:val="both"/>
              <w:rPr>
                <w:rFonts w:ascii="Times New Roman" w:eastAsia="Times New Roman" w:hAnsi="Times New Roman" w:cs="Times New Roman"/>
                <w:color w:val="000000"/>
              </w:rPr>
            </w:pPr>
          </w:p>
          <w:p w:rsidR="00FA131F" w:rsidRPr="00275965" w:rsidRDefault="00FA131F" w:rsidP="00FA131F">
            <w:pPr>
              <w:spacing w:after="0" w:line="240" w:lineRule="auto"/>
              <w:jc w:val="both"/>
              <w:rPr>
                <w:rFonts w:ascii="Times New Roman" w:eastAsia="Times New Roman" w:hAnsi="Times New Roman" w:cs="Times New Roman"/>
                <w:color w:val="000000"/>
              </w:rPr>
            </w:pPr>
            <w:r w:rsidRPr="00275965">
              <w:rPr>
                <w:rFonts w:ascii="Times New Roman" w:eastAsia="Times New Roman" w:hAnsi="Times New Roman" w:cs="Times New Roman"/>
                <w:color w:val="000000"/>
              </w:rPr>
              <w:t>Gereğini bilgilerinize arz ederim.</w:t>
            </w:r>
          </w:p>
          <w:p w:rsidR="00FA131F" w:rsidRPr="00275965" w:rsidRDefault="00FA131F" w:rsidP="00FA131F">
            <w:pPr>
              <w:spacing w:after="0" w:line="240" w:lineRule="auto"/>
              <w:jc w:val="both"/>
              <w:rPr>
                <w:rFonts w:ascii="Times New Roman" w:eastAsia="Times New Roman" w:hAnsi="Times New Roman" w:cs="Times New Roman"/>
                <w:color w:val="000000"/>
              </w:rPr>
            </w:pPr>
          </w:p>
          <w:p w:rsidR="001A31C3" w:rsidRPr="00275965" w:rsidRDefault="001A31C3" w:rsidP="001A31C3">
            <w:pPr>
              <w:spacing w:after="0" w:line="240" w:lineRule="auto"/>
              <w:jc w:val="center"/>
              <w:rPr>
                <w:rFonts w:ascii="Times New Roman" w:eastAsia="Times New Roman" w:hAnsi="Times New Roman" w:cs="Times New Roman"/>
              </w:rPr>
            </w:pPr>
            <w:r>
              <w:rPr>
                <w:rFonts w:ascii="Times New Roman" w:hAnsi="Times New Roman" w:cs="Times New Roman"/>
              </w:rPr>
              <w:t xml:space="preserve">                                                                                    </w:t>
            </w:r>
            <w:r w:rsidRPr="00275965">
              <w:rPr>
                <w:rFonts w:ascii="Times New Roman" w:hAnsi="Times New Roman" w:cs="Times New Roman"/>
              </w:rPr>
              <w:t>..../..../20....</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5187"/>
            </w:tblGrid>
            <w:tr w:rsidR="00FA131F" w:rsidRPr="00275965" w:rsidTr="001A31C3">
              <w:trPr>
                <w:trHeight w:val="220"/>
              </w:trPr>
              <w:tc>
                <w:tcPr>
                  <w:tcW w:w="5022" w:type="dxa"/>
                </w:tcPr>
                <w:p w:rsidR="00FA131F" w:rsidRPr="00275965" w:rsidRDefault="00FA131F" w:rsidP="00AF6DFA">
                  <w:pPr>
                    <w:jc w:val="both"/>
                    <w:rPr>
                      <w:rFonts w:ascii="Times New Roman" w:eastAsia="Times New Roman" w:hAnsi="Times New Roman" w:cs="Times New Roman"/>
                      <w:color w:val="000000"/>
                      <w:u w:val="single"/>
                    </w:rPr>
                  </w:pPr>
                </w:p>
              </w:tc>
              <w:tc>
                <w:tcPr>
                  <w:tcW w:w="5187" w:type="dxa"/>
                </w:tcPr>
                <w:p w:rsidR="00FA131F" w:rsidRPr="00275965" w:rsidRDefault="00F808D5" w:rsidP="00AF6DFA">
                  <w:pPr>
                    <w:jc w:val="center"/>
                    <w:rPr>
                      <w:rFonts w:ascii="Times New Roman" w:eastAsia="Times New Roman" w:hAnsi="Times New Roman" w:cs="Times New Roman"/>
                      <w:color w:val="000000"/>
                    </w:rPr>
                  </w:pPr>
                  <w:r w:rsidRPr="00275965">
                    <w:rPr>
                      <w:rFonts w:ascii="Times New Roman" w:eastAsia="Times New Roman" w:hAnsi="Times New Roman" w:cs="Times New Roman"/>
                      <w:color w:val="000000"/>
                    </w:rPr>
                    <w:t xml:space="preserve">Danışmanın </w:t>
                  </w:r>
                  <w:r w:rsidR="00D3101D" w:rsidRPr="00275965">
                    <w:rPr>
                      <w:rFonts w:ascii="Times New Roman" w:eastAsia="Times New Roman" w:hAnsi="Times New Roman" w:cs="Times New Roman"/>
                      <w:color w:val="000000"/>
                    </w:rPr>
                    <w:t>Ad-Soyadı</w:t>
                  </w:r>
                </w:p>
              </w:tc>
            </w:tr>
            <w:tr w:rsidR="00FA131F" w:rsidRPr="00275965" w:rsidTr="001A31C3">
              <w:trPr>
                <w:trHeight w:val="321"/>
              </w:trPr>
              <w:tc>
                <w:tcPr>
                  <w:tcW w:w="5022" w:type="dxa"/>
                </w:tcPr>
                <w:p w:rsidR="00FA131F" w:rsidRPr="00275965" w:rsidRDefault="00FA131F" w:rsidP="00AF6DFA">
                  <w:pPr>
                    <w:jc w:val="both"/>
                    <w:rPr>
                      <w:rFonts w:ascii="Times New Roman" w:eastAsia="Times New Roman" w:hAnsi="Times New Roman" w:cs="Times New Roman"/>
                      <w:color w:val="000000"/>
                    </w:rPr>
                  </w:pPr>
                </w:p>
                <w:p w:rsidR="00FA131F" w:rsidRPr="00275965" w:rsidRDefault="00FA131F" w:rsidP="00AF6DFA">
                  <w:pPr>
                    <w:jc w:val="both"/>
                    <w:rPr>
                      <w:rFonts w:ascii="Times New Roman" w:eastAsia="Times New Roman" w:hAnsi="Times New Roman" w:cs="Times New Roman"/>
                      <w:color w:val="000000"/>
                    </w:rPr>
                  </w:pPr>
                </w:p>
              </w:tc>
              <w:tc>
                <w:tcPr>
                  <w:tcW w:w="5187" w:type="dxa"/>
                </w:tcPr>
                <w:p w:rsidR="00FA131F" w:rsidRPr="00275965" w:rsidRDefault="00FA131F" w:rsidP="00AF6DFA">
                  <w:pPr>
                    <w:jc w:val="center"/>
                    <w:rPr>
                      <w:rFonts w:ascii="Times New Roman" w:eastAsia="Times New Roman" w:hAnsi="Times New Roman" w:cs="Times New Roman"/>
                      <w:color w:val="000000"/>
                    </w:rPr>
                  </w:pPr>
                  <w:r w:rsidRPr="00275965">
                    <w:rPr>
                      <w:rFonts w:ascii="Times New Roman" w:eastAsia="Times New Roman" w:hAnsi="Times New Roman" w:cs="Times New Roman"/>
                      <w:color w:val="000000"/>
                    </w:rPr>
                    <w:t>İmza</w:t>
                  </w:r>
                </w:p>
              </w:tc>
            </w:tr>
            <w:tr w:rsidR="00FA131F" w:rsidRPr="00275965" w:rsidTr="001A31C3">
              <w:trPr>
                <w:trHeight w:val="132"/>
              </w:trPr>
              <w:tc>
                <w:tcPr>
                  <w:tcW w:w="5022" w:type="dxa"/>
                </w:tcPr>
                <w:p w:rsidR="00FA131F" w:rsidRPr="00275965" w:rsidRDefault="00FA131F" w:rsidP="00AF6DFA">
                  <w:pPr>
                    <w:jc w:val="both"/>
                    <w:rPr>
                      <w:rFonts w:ascii="Times New Roman" w:eastAsia="Times New Roman" w:hAnsi="Times New Roman" w:cs="Times New Roman"/>
                      <w:color w:val="000000"/>
                    </w:rPr>
                  </w:pPr>
                </w:p>
              </w:tc>
              <w:tc>
                <w:tcPr>
                  <w:tcW w:w="5187" w:type="dxa"/>
                </w:tcPr>
                <w:p w:rsidR="00FA131F" w:rsidRPr="00275965" w:rsidRDefault="00FA131F" w:rsidP="00AF6DFA">
                  <w:pPr>
                    <w:jc w:val="center"/>
                    <w:rPr>
                      <w:rFonts w:ascii="Times New Roman" w:eastAsia="Times New Roman" w:hAnsi="Times New Roman" w:cs="Times New Roman"/>
                      <w:color w:val="000000"/>
                    </w:rPr>
                  </w:pPr>
                </w:p>
              </w:tc>
            </w:tr>
            <w:tr w:rsidR="00FA131F" w:rsidRPr="00275965" w:rsidTr="001A31C3">
              <w:trPr>
                <w:trHeight w:val="132"/>
              </w:trPr>
              <w:tc>
                <w:tcPr>
                  <w:tcW w:w="5022" w:type="dxa"/>
                </w:tcPr>
                <w:p w:rsidR="00FA131F" w:rsidRPr="00275965" w:rsidRDefault="00FA131F" w:rsidP="00AF6DFA">
                  <w:pPr>
                    <w:jc w:val="both"/>
                    <w:rPr>
                      <w:rFonts w:ascii="Times New Roman" w:eastAsia="Times New Roman" w:hAnsi="Times New Roman" w:cs="Times New Roman"/>
                      <w:color w:val="000000"/>
                    </w:rPr>
                  </w:pPr>
                </w:p>
              </w:tc>
              <w:tc>
                <w:tcPr>
                  <w:tcW w:w="5187" w:type="dxa"/>
                </w:tcPr>
                <w:p w:rsidR="00FA131F" w:rsidRPr="00275965" w:rsidRDefault="00FA131F" w:rsidP="00AF6DFA">
                  <w:pPr>
                    <w:jc w:val="center"/>
                    <w:rPr>
                      <w:rFonts w:ascii="Times New Roman" w:eastAsia="Times New Roman" w:hAnsi="Times New Roman" w:cs="Times New Roman"/>
                      <w:color w:val="000000"/>
                    </w:rPr>
                  </w:pPr>
                </w:p>
              </w:tc>
            </w:tr>
          </w:tbl>
          <w:p w:rsidR="00FA131F" w:rsidRPr="00275965" w:rsidRDefault="00FA131F" w:rsidP="00FA131F">
            <w:pPr>
              <w:spacing w:after="0" w:line="240" w:lineRule="auto"/>
              <w:jc w:val="both"/>
              <w:rPr>
                <w:rFonts w:ascii="Times New Roman" w:eastAsia="Times New Roman" w:hAnsi="Times New Roman" w:cs="Times New Roman"/>
                <w:color w:val="000000"/>
              </w:rPr>
            </w:pPr>
          </w:p>
          <w:p w:rsidR="00FA131F" w:rsidRPr="00275965" w:rsidRDefault="00FA131F" w:rsidP="00FA131F">
            <w:pPr>
              <w:spacing w:after="0" w:line="240" w:lineRule="auto"/>
              <w:jc w:val="both"/>
              <w:rPr>
                <w:rFonts w:ascii="Times New Roman" w:eastAsia="Times New Roman" w:hAnsi="Times New Roman" w:cs="Times New Roman"/>
                <w:color w:val="000000"/>
              </w:rPr>
            </w:pPr>
          </w:p>
          <w:p w:rsidR="00FA131F" w:rsidRPr="00275965" w:rsidRDefault="00FA131F" w:rsidP="00FA131F">
            <w:pPr>
              <w:spacing w:after="0" w:line="240" w:lineRule="auto"/>
              <w:jc w:val="both"/>
              <w:rPr>
                <w:rFonts w:ascii="Times New Roman" w:eastAsia="Times New Roman" w:hAnsi="Times New Roman" w:cs="Times New Roman"/>
                <w:color w:val="000000"/>
              </w:rPr>
            </w:pPr>
          </w:p>
          <w:p w:rsidR="00FA131F" w:rsidRPr="00275965" w:rsidRDefault="00FA131F" w:rsidP="00FA131F">
            <w:pPr>
              <w:spacing w:after="0" w:line="240" w:lineRule="auto"/>
              <w:jc w:val="both"/>
              <w:rPr>
                <w:rFonts w:ascii="Times New Roman" w:eastAsia="Times New Roman" w:hAnsi="Times New Roman" w:cs="Times New Roman"/>
                <w:color w:val="000000"/>
              </w:rPr>
            </w:pPr>
          </w:p>
          <w:p w:rsidR="00FA131F" w:rsidRPr="00275965" w:rsidRDefault="00FA131F" w:rsidP="00FA131F">
            <w:pPr>
              <w:spacing w:after="0" w:line="240" w:lineRule="auto"/>
              <w:jc w:val="center"/>
              <w:rPr>
                <w:rFonts w:ascii="Times New Roman" w:eastAsia="Times New Roman" w:hAnsi="Times New Roman" w:cs="Times New Roman"/>
                <w:color w:val="000000"/>
              </w:rPr>
            </w:pPr>
            <w:r w:rsidRPr="00275965">
              <w:rPr>
                <w:rFonts w:ascii="Times New Roman" w:eastAsia="Times New Roman" w:hAnsi="Times New Roman" w:cs="Times New Roman"/>
                <w:b/>
                <w:color w:val="000000"/>
              </w:rPr>
              <w:t>UYGUN</w:t>
            </w:r>
            <w:r w:rsidR="00F42F78">
              <w:rPr>
                <w:rFonts w:ascii="Times New Roman" w:eastAsia="Times New Roman" w:hAnsi="Times New Roman" w:cs="Times New Roman"/>
                <w:b/>
                <w:color w:val="000000"/>
              </w:rPr>
              <w:t>DUR</w:t>
            </w:r>
            <w:bookmarkStart w:id="0" w:name="_GoBack"/>
            <w:bookmarkEnd w:id="0"/>
          </w:p>
          <w:p w:rsidR="00970310" w:rsidRPr="00275965" w:rsidRDefault="00970310" w:rsidP="00D3101D">
            <w:pPr>
              <w:spacing w:after="0" w:line="240" w:lineRule="auto"/>
              <w:jc w:val="center"/>
              <w:rPr>
                <w:rFonts w:ascii="Times New Roman" w:eastAsia="Times New Roman" w:hAnsi="Times New Roman" w:cs="Times New Roman"/>
                <w:color w:val="000000"/>
              </w:rPr>
            </w:pPr>
          </w:p>
          <w:p w:rsidR="00275965" w:rsidRPr="00275965" w:rsidRDefault="00275965" w:rsidP="00275965">
            <w:pPr>
              <w:spacing w:after="0" w:line="240" w:lineRule="auto"/>
              <w:jc w:val="center"/>
              <w:rPr>
                <w:rFonts w:ascii="Times New Roman" w:eastAsia="Times New Roman" w:hAnsi="Times New Roman" w:cs="Times New Roman"/>
              </w:rPr>
            </w:pPr>
            <w:r w:rsidRPr="00275965">
              <w:rPr>
                <w:rFonts w:ascii="Times New Roman" w:hAnsi="Times New Roman" w:cs="Times New Roman"/>
              </w:rPr>
              <w:t>..../..../20....</w:t>
            </w:r>
          </w:p>
          <w:p w:rsidR="00FA131F" w:rsidRPr="00275965" w:rsidRDefault="00FA131F" w:rsidP="00275965">
            <w:pPr>
              <w:spacing w:after="0" w:line="240" w:lineRule="auto"/>
              <w:jc w:val="center"/>
              <w:rPr>
                <w:rFonts w:ascii="Times New Roman" w:eastAsia="Times New Roman" w:hAnsi="Times New Roman" w:cs="Times New Roman"/>
                <w:color w:val="000000"/>
              </w:rPr>
            </w:pPr>
            <w:r w:rsidRPr="00275965">
              <w:rPr>
                <w:rFonts w:ascii="Times New Roman" w:eastAsia="Times New Roman" w:hAnsi="Times New Roman" w:cs="Times New Roman"/>
                <w:color w:val="000000"/>
              </w:rPr>
              <w:t>İmza</w:t>
            </w:r>
          </w:p>
          <w:p w:rsidR="00FA131F" w:rsidRPr="00275965" w:rsidRDefault="00F808D5" w:rsidP="005E0F76">
            <w:pPr>
              <w:spacing w:after="0" w:line="240" w:lineRule="auto"/>
              <w:jc w:val="center"/>
              <w:rPr>
                <w:rFonts w:ascii="Times New Roman" w:eastAsia="Times New Roman" w:hAnsi="Times New Roman" w:cs="Times New Roman"/>
                <w:color w:val="000000"/>
              </w:rPr>
            </w:pPr>
            <w:r w:rsidRPr="00275965">
              <w:rPr>
                <w:rFonts w:ascii="Times New Roman" w:eastAsia="Times New Roman" w:hAnsi="Times New Roman" w:cs="Times New Roman"/>
                <w:color w:val="000000"/>
              </w:rPr>
              <w:t xml:space="preserve">Anabilim Dalı Başkanı </w:t>
            </w:r>
            <w:r w:rsidR="00970310" w:rsidRPr="00275965">
              <w:rPr>
                <w:rFonts w:ascii="Times New Roman" w:eastAsia="Times New Roman" w:hAnsi="Times New Roman" w:cs="Times New Roman"/>
                <w:color w:val="000000"/>
              </w:rPr>
              <w:t>Ad-</w:t>
            </w:r>
            <w:r w:rsidR="00FA131F" w:rsidRPr="00275965">
              <w:rPr>
                <w:rFonts w:ascii="Times New Roman" w:eastAsia="Times New Roman" w:hAnsi="Times New Roman" w:cs="Times New Roman"/>
                <w:color w:val="000000"/>
              </w:rPr>
              <w:t>Soyadı</w:t>
            </w:r>
          </w:p>
          <w:p w:rsidR="00041A26" w:rsidRPr="00275965" w:rsidRDefault="00041A26" w:rsidP="009A4AFB">
            <w:pPr>
              <w:spacing w:after="0" w:line="240" w:lineRule="auto"/>
              <w:rPr>
                <w:rFonts w:ascii="Times New Roman" w:hAnsi="Times New Roman" w:cs="Times New Roman"/>
              </w:rPr>
            </w:pPr>
          </w:p>
          <w:p w:rsidR="000C45A9" w:rsidRPr="00275965" w:rsidRDefault="000C45A9" w:rsidP="009A4AFB">
            <w:pPr>
              <w:spacing w:after="0" w:line="240" w:lineRule="auto"/>
              <w:rPr>
                <w:rFonts w:ascii="Times New Roman" w:hAnsi="Times New Roman" w:cs="Times New Roman"/>
              </w:rPr>
            </w:pPr>
          </w:p>
          <w:p w:rsidR="000C45A9" w:rsidRPr="00275965" w:rsidRDefault="000C45A9" w:rsidP="009A4AFB">
            <w:pPr>
              <w:spacing w:after="0" w:line="240" w:lineRule="auto"/>
              <w:rPr>
                <w:rFonts w:ascii="Times New Roman" w:hAnsi="Times New Roman" w:cs="Times New Roman"/>
              </w:rPr>
            </w:pPr>
          </w:p>
          <w:p w:rsidR="00275965" w:rsidRDefault="000C45A9" w:rsidP="009A4AFB">
            <w:pPr>
              <w:spacing w:after="0" w:line="240" w:lineRule="auto"/>
              <w:rPr>
                <w:rFonts w:ascii="Times New Roman" w:hAnsi="Times New Roman" w:cs="Times New Roman"/>
              </w:rPr>
            </w:pPr>
            <w:r w:rsidRPr="00275965">
              <w:rPr>
                <w:rFonts w:ascii="Times New Roman" w:hAnsi="Times New Roman" w:cs="Times New Roman"/>
              </w:rPr>
              <w:t>EK</w:t>
            </w:r>
            <w:r w:rsidR="00275965">
              <w:rPr>
                <w:rFonts w:ascii="Times New Roman" w:hAnsi="Times New Roman" w:cs="Times New Roman"/>
              </w:rPr>
              <w:t>İ:</w:t>
            </w:r>
          </w:p>
          <w:p w:rsidR="000C45A9" w:rsidRDefault="000C45A9" w:rsidP="00AE7031">
            <w:pPr>
              <w:spacing w:after="0" w:line="240" w:lineRule="auto"/>
              <w:rPr>
                <w:rFonts w:ascii="Times New Roman" w:hAnsi="Times New Roman" w:cs="Times New Roman"/>
              </w:rPr>
            </w:pPr>
            <w:r w:rsidRPr="00275965">
              <w:rPr>
                <w:rFonts w:ascii="Times New Roman" w:hAnsi="Times New Roman" w:cs="Times New Roman"/>
              </w:rPr>
              <w:t>İkinci Tez Danışman</w:t>
            </w:r>
            <w:r w:rsidR="00AE7031">
              <w:rPr>
                <w:rFonts w:ascii="Times New Roman" w:hAnsi="Times New Roman" w:cs="Times New Roman"/>
              </w:rPr>
              <w:t>ın</w:t>
            </w:r>
            <w:r w:rsidRPr="00275965">
              <w:rPr>
                <w:rFonts w:ascii="Times New Roman" w:hAnsi="Times New Roman" w:cs="Times New Roman"/>
              </w:rPr>
              <w:t xml:space="preserve"> Özgeçmişi</w:t>
            </w:r>
          </w:p>
          <w:p w:rsidR="002B4192" w:rsidRPr="00275965" w:rsidRDefault="002B4192" w:rsidP="00AE7031">
            <w:pPr>
              <w:spacing w:after="0" w:line="240" w:lineRule="auto"/>
              <w:rPr>
                <w:rFonts w:ascii="Times New Roman" w:hAnsi="Times New Roman" w:cs="Times New Roman"/>
              </w:rPr>
            </w:pPr>
            <w:r w:rsidRPr="002B4192">
              <w:rPr>
                <w:rFonts w:ascii="Times New Roman" w:hAnsi="Times New Roman" w:cs="Times New Roman"/>
                <w:color w:val="FF0000"/>
                <w:highlight w:val="yellow"/>
              </w:rPr>
              <w:t>Not: Gerekçeler Ayrıntılı Yazılmalıdır.</w:t>
            </w:r>
          </w:p>
        </w:tc>
      </w:tr>
    </w:tbl>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Danışman ataması</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MADDE 15- </w:t>
      </w:r>
      <w:r>
        <w:rPr>
          <w:color w:val="000000"/>
          <w:sz w:val="18"/>
          <w:szCs w:val="18"/>
        </w:rPr>
        <w:t xml:space="preserve">(1) Lisansüstü programlarda her öğrenci için tez danışmanı, öğretim üyeleri arasından, </w:t>
      </w:r>
      <w:r w:rsidRPr="001A31C3">
        <w:rPr>
          <w:sz w:val="18"/>
          <w:szCs w:val="18"/>
        </w:rPr>
        <w:t>Enstitü anabilim/</w:t>
      </w:r>
      <w:r w:rsidRPr="001A31C3">
        <w:rPr>
          <w:rStyle w:val="spelle"/>
          <w:sz w:val="18"/>
          <w:szCs w:val="18"/>
        </w:rPr>
        <w:t>anasanat</w:t>
      </w:r>
      <w:r w:rsidRPr="001A31C3">
        <w:rPr>
          <w:sz w:val="18"/>
          <w:szCs w:val="18"/>
        </w:rPr>
        <w:t> dalı kurul kararı, ilgili anabilim/</w:t>
      </w:r>
      <w:r w:rsidRPr="001A31C3">
        <w:rPr>
          <w:rStyle w:val="spelle"/>
          <w:sz w:val="18"/>
          <w:szCs w:val="18"/>
        </w:rPr>
        <w:t>anasanat</w:t>
      </w:r>
      <w:r w:rsidRPr="001A31C3">
        <w:rPr>
          <w:sz w:val="18"/>
          <w:szCs w:val="18"/>
        </w:rPr>
        <w:t> dalı başkanlığının teklifi ve Enstitü Yönetim Kurulu kararı ile atanır. Yüksek lisan</w:t>
      </w:r>
      <w:r>
        <w:rPr>
          <w:color w:val="000000"/>
          <w:sz w:val="18"/>
          <w:szCs w:val="18"/>
        </w:rPr>
        <w:t>s programları için en geç birinci yarıyılın sonuna kadar, doktora/sanatta yeterlik programlarında ise en geç ikinci yarıyılın sonuna kadar tez danışmanı atanır. Tez danışmanı atanıncaya kadar danışmanlık anabilim/</w:t>
      </w:r>
      <w:r>
        <w:rPr>
          <w:rStyle w:val="spelle"/>
          <w:color w:val="000000"/>
          <w:sz w:val="18"/>
          <w:szCs w:val="18"/>
        </w:rPr>
        <w:t>anasanat</w:t>
      </w:r>
      <w:r>
        <w:rPr>
          <w:color w:val="000000"/>
          <w:sz w:val="18"/>
          <w:szCs w:val="18"/>
        </w:rPr>
        <w:t> dalı başkanı tarafından yürütülür.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(2) Danışman, öğrencinin kayıtlı olduğu anabilim/</w:t>
      </w:r>
      <w:r>
        <w:rPr>
          <w:rStyle w:val="spelle"/>
          <w:color w:val="000000"/>
          <w:sz w:val="18"/>
          <w:szCs w:val="18"/>
        </w:rPr>
        <w:t>anasanat</w:t>
      </w:r>
      <w:r>
        <w:rPr>
          <w:color w:val="000000"/>
          <w:sz w:val="18"/>
          <w:szCs w:val="18"/>
        </w:rPr>
        <w:t> dalında görev yapan veya doktorası ve/veya doçentliği ilgili programın alanından olan öğretim üyeleri arasından atanır. Öğrencinin kayıtlı olduğu anabilim/</w:t>
      </w:r>
      <w:r>
        <w:rPr>
          <w:rStyle w:val="spelle"/>
          <w:color w:val="000000"/>
          <w:sz w:val="18"/>
          <w:szCs w:val="18"/>
        </w:rPr>
        <w:t>anasanat</w:t>
      </w:r>
      <w:r>
        <w:rPr>
          <w:color w:val="000000"/>
          <w:sz w:val="18"/>
          <w:szCs w:val="18"/>
        </w:rPr>
        <w:t> dalı </w:t>
      </w:r>
      <w:r>
        <w:rPr>
          <w:rStyle w:val="spelle"/>
          <w:color w:val="000000"/>
          <w:sz w:val="18"/>
          <w:szCs w:val="18"/>
        </w:rPr>
        <w:t>disiplinlerarası</w:t>
      </w:r>
      <w:r>
        <w:rPr>
          <w:color w:val="000000"/>
          <w:sz w:val="18"/>
          <w:szCs w:val="18"/>
        </w:rPr>
        <w:t> ise danışman o alanla doğrudan ilişkili lisansüstü eğitim programında ders veren öğretim üyeleri arasından atanır.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lastRenderedPageBreak/>
        <w:t xml:space="preserve">(3) Tez/sanat çalışması niteliğinin birden fazla danışman gerektirdiği durumlarda, </w:t>
      </w:r>
      <w:r w:rsidRPr="001A31C3">
        <w:rPr>
          <w:b/>
          <w:color w:val="FF0000"/>
          <w:sz w:val="18"/>
          <w:szCs w:val="18"/>
        </w:rPr>
        <w:t>birinci danışmanın gerekçeli raporu, anabilim/</w:t>
      </w:r>
      <w:r w:rsidRPr="001A31C3">
        <w:rPr>
          <w:rStyle w:val="spelle"/>
          <w:b/>
          <w:color w:val="FF0000"/>
          <w:sz w:val="18"/>
          <w:szCs w:val="18"/>
        </w:rPr>
        <w:t>anasanat</w:t>
      </w:r>
      <w:r w:rsidRPr="001A31C3">
        <w:rPr>
          <w:b/>
          <w:color w:val="FF0000"/>
          <w:sz w:val="18"/>
          <w:szCs w:val="18"/>
        </w:rPr>
        <w:t> dalı başkanlığının önerisi ve Enstitü Yönetim Kurulunun kararı ile Üniversite içinden veya dışından en az doktora/sanatta yeterlik derecesine sahip ikinci danışman atanabilir</w:t>
      </w:r>
      <w:r>
        <w:rPr>
          <w:color w:val="000000"/>
          <w:sz w:val="18"/>
          <w:szCs w:val="18"/>
        </w:rPr>
        <w:t>. Tez öğrencileri için birinci danışmana tez çalışması ve uzmanlık alan dersi kapsamında ücret ödenmektedir. Ancak ikinci danışmana bu kapsamda ücret ödenecek ise birinci danışmanın Enstitüye dönem başında gerekçeli raporla durumu bildirmesi ve Enstitü Yönetim Kurulu kararı ile ikinci danışmanın ek ders ücret görevlendirmesi yapılabilir.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(4) Öğrencinin başvurusu ve/veya danışmanının gerekçeli önerisi, anabilim/</w:t>
      </w:r>
      <w:r>
        <w:rPr>
          <w:rStyle w:val="spelle"/>
          <w:color w:val="000000"/>
          <w:sz w:val="18"/>
          <w:szCs w:val="18"/>
        </w:rPr>
        <w:t>anasanat</w:t>
      </w:r>
      <w:r>
        <w:rPr>
          <w:color w:val="000000"/>
          <w:sz w:val="18"/>
          <w:szCs w:val="18"/>
        </w:rPr>
        <w:t> dalı başkanlığının teklifi ve Enstitü Yönetim Kurulunun kararıyla danışman değişikliği yapılabilir. Danışman değişikliği yapılması durumunda, aynı usul ile yeni danışman atanır. Yeni danışman atanıncaya kadar bu görev anabilim/</w:t>
      </w:r>
      <w:r>
        <w:rPr>
          <w:rStyle w:val="spelle"/>
          <w:color w:val="000000"/>
          <w:sz w:val="18"/>
          <w:szCs w:val="18"/>
        </w:rPr>
        <w:t>anasanat</w:t>
      </w:r>
      <w:r>
        <w:rPr>
          <w:color w:val="000000"/>
          <w:sz w:val="18"/>
          <w:szCs w:val="18"/>
        </w:rPr>
        <w:t> dalı başkanı tarafından yürütülür.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(5) YÖK üst kurullarında görev alan, üniversiteler arasında yer değiştiren ve emekliye ayrılan öğretim üyelerinin başlamış olan danışmanlıkları talep etmeleri halinde süreç tamamlanıncaya kadar devam eder.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rStyle w:val="grame"/>
          <w:color w:val="000000"/>
          <w:sz w:val="18"/>
          <w:szCs w:val="18"/>
        </w:rPr>
        <w:t>(6) Lisansüstü program kontenjanları, YÖK tarafından belirlenen lisansüstü programlarda görev alabilecek öğretim üyesi sayısı ve mevcut öğretim üyesi başına düşen öğrenci sayısı dikkate alınarak, tezli yüksek lisans ve doktora/sanatta yeterlik programları için öğretim üyesi başına düşen tez danışmanlığı en fazla 14, tezsiz yüksek lisans programları için ise tezli yüksek lisans ve doktora/sanatta yeterlik programları hariç en fazla 16 öğrenci düşecek şekilde belirlenir. </w:t>
      </w:r>
      <w:r>
        <w:rPr>
          <w:color w:val="000000"/>
          <w:sz w:val="18"/>
          <w:szCs w:val="18"/>
        </w:rPr>
        <w:t>Ancak YÖK ile yapılan protokol </w:t>
      </w:r>
      <w:r>
        <w:rPr>
          <w:rStyle w:val="grame"/>
          <w:color w:val="000000"/>
          <w:sz w:val="18"/>
          <w:szCs w:val="18"/>
        </w:rPr>
        <w:t>dahilinde</w:t>
      </w:r>
      <w:r>
        <w:rPr>
          <w:color w:val="000000"/>
          <w:sz w:val="18"/>
          <w:szCs w:val="18"/>
        </w:rPr>
        <w:t> ve Üniversite sanayi iş birliği ve Üniversitenin ihtisas alanı çerçevesinde yürütülen lisansüstü programlar için bu kontenjan %50’ye kadar artırılabilir.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(7) İki yarıyıl üst üste veya aralıklı olarak üç kez kaydını yenilemeyen öğrenci/öğrencilerinin kaydını yenilemeyen danışmanların danışmanlık görevleri sona erer. Bu öğrenciler havuzda toplanır ve danışmanlıkları yeni bir danışman atanıncaya kadar anabilim/</w:t>
      </w:r>
      <w:r>
        <w:rPr>
          <w:rStyle w:val="spelle"/>
          <w:color w:val="000000"/>
          <w:sz w:val="18"/>
          <w:szCs w:val="18"/>
        </w:rPr>
        <w:t>anasanat</w:t>
      </w:r>
      <w:r>
        <w:rPr>
          <w:color w:val="000000"/>
          <w:sz w:val="18"/>
          <w:szCs w:val="18"/>
        </w:rPr>
        <w:t> dalı başkanınca yürütülür.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(8) Havuzda bulunan lisansüstü öğrenciler, eğitim-öğretimine devam etmek istemeleri durumunda kayıtlı bulunduğu lisansüstü programın anabilim/</w:t>
      </w:r>
      <w:r>
        <w:rPr>
          <w:rStyle w:val="spelle"/>
          <w:color w:val="000000"/>
          <w:sz w:val="18"/>
          <w:szCs w:val="18"/>
        </w:rPr>
        <w:t>anasanat</w:t>
      </w:r>
      <w:r>
        <w:rPr>
          <w:color w:val="000000"/>
          <w:sz w:val="18"/>
          <w:szCs w:val="18"/>
        </w:rPr>
        <w:t> dalı başkanlığına dilekçe ile başvuruda bulunur. Bu öğrencilere ilgili anabilim/</w:t>
      </w:r>
      <w:r>
        <w:rPr>
          <w:rStyle w:val="spelle"/>
          <w:color w:val="000000"/>
          <w:sz w:val="18"/>
          <w:szCs w:val="18"/>
        </w:rPr>
        <w:t>anasanat</w:t>
      </w:r>
      <w:r>
        <w:rPr>
          <w:color w:val="000000"/>
          <w:sz w:val="18"/>
          <w:szCs w:val="18"/>
        </w:rPr>
        <w:t> dalı kurul kararı, anabilim/</w:t>
      </w:r>
      <w:r>
        <w:rPr>
          <w:rStyle w:val="spelle"/>
          <w:color w:val="000000"/>
          <w:sz w:val="18"/>
          <w:szCs w:val="18"/>
        </w:rPr>
        <w:t>anasanat</w:t>
      </w:r>
      <w:r>
        <w:rPr>
          <w:color w:val="000000"/>
          <w:sz w:val="18"/>
          <w:szCs w:val="18"/>
        </w:rPr>
        <w:t> dalı başkanlığının teklifi ve Enstitü Yönetim Kurulu kararı ile danışman ataması yapılır.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(9) Danışmanlık görevini yürütemeyecek düzeyde hastalık veya altı aydan fazla yurt dışı görevlendirmelerinde bulunan danışmanların yerine anabilim/</w:t>
      </w:r>
      <w:r>
        <w:rPr>
          <w:rStyle w:val="spelle"/>
          <w:color w:val="000000"/>
          <w:sz w:val="18"/>
          <w:szCs w:val="18"/>
        </w:rPr>
        <w:t>anasanat</w:t>
      </w:r>
      <w:r>
        <w:rPr>
          <w:color w:val="000000"/>
          <w:sz w:val="18"/>
          <w:szCs w:val="18"/>
        </w:rPr>
        <w:t> dalı kurulunun kararı, anabilim/</w:t>
      </w:r>
      <w:r>
        <w:rPr>
          <w:rStyle w:val="spelle"/>
          <w:color w:val="000000"/>
          <w:sz w:val="18"/>
          <w:szCs w:val="18"/>
        </w:rPr>
        <w:t>anasanat</w:t>
      </w:r>
      <w:r>
        <w:rPr>
          <w:color w:val="000000"/>
          <w:sz w:val="18"/>
          <w:szCs w:val="18"/>
        </w:rPr>
        <w:t> dalı başkanının teklifi ve Enstitü Yönetim Kurulu onayı ile yeni bir danışman atanır.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(10) Danışmanın izin, hastalık, yurt dışı seyahat ve benzeri nedenlerle mazeretli olması halinde, bu süreçte onaylanması gereken belge ve işlemler anabilim/</w:t>
      </w:r>
      <w:r>
        <w:rPr>
          <w:rStyle w:val="spelle"/>
          <w:color w:val="000000"/>
          <w:sz w:val="18"/>
          <w:szCs w:val="18"/>
        </w:rPr>
        <w:t>anasanat</w:t>
      </w:r>
      <w:r>
        <w:rPr>
          <w:color w:val="000000"/>
          <w:sz w:val="18"/>
          <w:szCs w:val="18"/>
        </w:rPr>
        <w:t> dalı başkanınca yürütülür.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(11) Danışman, danışmanı olduğu öğrencinin yazışmalarının ve bilimsel çalışmalarının usulüne uygun yürütülmesinde Enstitüye karşı sorumludur. Danışmanı, öğrenciyi, öğrenimi süresince alacağı derslere yönlendirmek, bu derslere devamını ve öğrenim durumunu sürekli izlemek, atamayı izleyen dönemden itibaren öğrencinin ders kaydını öğrenci bilgi sisteminde onaylamak, öğrencinin tez önerisini belirleyerek, öğrencinin tez çalışmasını yönetmek ve yönlendirmekle yükümlüdür. Bu hususlara riayet etmeyen danışmanların yerine anabilim/</w:t>
      </w:r>
      <w:r>
        <w:rPr>
          <w:rStyle w:val="spelle"/>
          <w:color w:val="000000"/>
          <w:sz w:val="18"/>
          <w:szCs w:val="18"/>
        </w:rPr>
        <w:t>anasanat</w:t>
      </w:r>
      <w:r>
        <w:rPr>
          <w:color w:val="000000"/>
          <w:sz w:val="18"/>
          <w:szCs w:val="18"/>
        </w:rPr>
        <w:t> dalı başkanının görüşü ve Enstitü Yönetim Kurulunun kararı ile yeni bir danışman atanır.</w:t>
      </w:r>
    </w:p>
    <w:p w:rsidR="001A31C3" w:rsidRDefault="001A31C3" w:rsidP="001A31C3">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(12) Öğrenci ile birinci dereceden akrabalık ilişkisi olanlar, o öğrencinin danışmanı olamaz, sınav jürilerinde ve tez izleme komitesinde görev alamazlar.</w:t>
      </w:r>
    </w:p>
    <w:p w:rsidR="00306849" w:rsidRPr="00275965" w:rsidRDefault="00306849" w:rsidP="000F2812">
      <w:pPr>
        <w:ind w:left="-709"/>
        <w:rPr>
          <w:rFonts w:ascii="Times New Roman" w:hAnsi="Times New Roman" w:cs="Times New Roman"/>
        </w:rPr>
      </w:pPr>
    </w:p>
    <w:sectPr w:rsidR="00306849" w:rsidRPr="00275965"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2C" w:rsidRDefault="0004692C" w:rsidP="002B1213">
      <w:pPr>
        <w:spacing w:after="0" w:line="240" w:lineRule="auto"/>
      </w:pPr>
      <w:r>
        <w:separator/>
      </w:r>
    </w:p>
  </w:endnote>
  <w:endnote w:type="continuationSeparator" w:id="0">
    <w:p w:rsidR="0004692C" w:rsidRDefault="0004692C"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C77D43">
      <w:rPr>
        <w:rFonts w:ascii="Times New Roman" w:hAnsi="Times New Roman" w:cs="Times New Roman"/>
        <w:sz w:val="24"/>
        <w:szCs w:val="24"/>
      </w:rPr>
      <w:t>169</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2C" w:rsidRDefault="0004692C" w:rsidP="002B1213">
      <w:pPr>
        <w:spacing w:after="0" w:line="240" w:lineRule="auto"/>
      </w:pPr>
      <w:r>
        <w:separator/>
      </w:r>
    </w:p>
  </w:footnote>
  <w:footnote w:type="continuationSeparator" w:id="0">
    <w:p w:rsidR="0004692C" w:rsidRDefault="0004692C"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020F10" w:rsidP="007728A3">
          <w:pPr>
            <w:spacing w:after="0"/>
            <w:jc w:val="center"/>
          </w:pPr>
          <w:r>
            <w:rPr>
              <w:noProof/>
            </w:rPr>
            <w:drawing>
              <wp:inline distT="0" distB="0" distL="0" distR="0" wp14:anchorId="2806600D">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5E0F76"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İKİNCİ TEZ DANIŞMANI</w:t>
          </w:r>
          <w:r w:rsidR="00FA131F">
            <w:rPr>
              <w:rFonts w:ascii="Times New Roman" w:hAnsi="Times New Roman" w:cs="Times New Roman"/>
              <w:b/>
              <w:sz w:val="32"/>
              <w:szCs w:val="32"/>
            </w:rPr>
            <w:t xml:space="preserve"> TALEP 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20F10"/>
    <w:rsid w:val="00041A26"/>
    <w:rsid w:val="0004692C"/>
    <w:rsid w:val="0008722F"/>
    <w:rsid w:val="00087F45"/>
    <w:rsid w:val="000B08A5"/>
    <w:rsid w:val="000C45A9"/>
    <w:rsid w:val="000D1230"/>
    <w:rsid w:val="000D33D0"/>
    <w:rsid w:val="000F2812"/>
    <w:rsid w:val="00101B5F"/>
    <w:rsid w:val="0010544C"/>
    <w:rsid w:val="00116C37"/>
    <w:rsid w:val="00162C8D"/>
    <w:rsid w:val="001A168B"/>
    <w:rsid w:val="001A1AA0"/>
    <w:rsid w:val="001A31C3"/>
    <w:rsid w:val="001B1309"/>
    <w:rsid w:val="00220894"/>
    <w:rsid w:val="00223640"/>
    <w:rsid w:val="00237018"/>
    <w:rsid w:val="002467B9"/>
    <w:rsid w:val="00256544"/>
    <w:rsid w:val="00263E03"/>
    <w:rsid w:val="00275965"/>
    <w:rsid w:val="002B1213"/>
    <w:rsid w:val="002B4192"/>
    <w:rsid w:val="002C2F6D"/>
    <w:rsid w:val="002D31E4"/>
    <w:rsid w:val="002E5FE5"/>
    <w:rsid w:val="00306849"/>
    <w:rsid w:val="00361C81"/>
    <w:rsid w:val="0038132F"/>
    <w:rsid w:val="003821D2"/>
    <w:rsid w:val="003972E8"/>
    <w:rsid w:val="003B2A0A"/>
    <w:rsid w:val="003E1150"/>
    <w:rsid w:val="003F5FDD"/>
    <w:rsid w:val="0041018A"/>
    <w:rsid w:val="004155D2"/>
    <w:rsid w:val="004515C6"/>
    <w:rsid w:val="00467F06"/>
    <w:rsid w:val="004D3973"/>
    <w:rsid w:val="005E0F76"/>
    <w:rsid w:val="005F2C59"/>
    <w:rsid w:val="00621690"/>
    <w:rsid w:val="00671FBD"/>
    <w:rsid w:val="006A3E34"/>
    <w:rsid w:val="006B10CA"/>
    <w:rsid w:val="006D11E2"/>
    <w:rsid w:val="00707A39"/>
    <w:rsid w:val="00721DEB"/>
    <w:rsid w:val="00765B4A"/>
    <w:rsid w:val="007728A3"/>
    <w:rsid w:val="007766DF"/>
    <w:rsid w:val="007D5A27"/>
    <w:rsid w:val="00811BAD"/>
    <w:rsid w:val="00812615"/>
    <w:rsid w:val="008325CB"/>
    <w:rsid w:val="00856495"/>
    <w:rsid w:val="00864F55"/>
    <w:rsid w:val="008A561E"/>
    <w:rsid w:val="008C4363"/>
    <w:rsid w:val="008F0749"/>
    <w:rsid w:val="00925EE7"/>
    <w:rsid w:val="00940A5E"/>
    <w:rsid w:val="00970310"/>
    <w:rsid w:val="009714CF"/>
    <w:rsid w:val="009A2DD4"/>
    <w:rsid w:val="009A4AFB"/>
    <w:rsid w:val="009A7A1D"/>
    <w:rsid w:val="009B08B3"/>
    <w:rsid w:val="00A159ED"/>
    <w:rsid w:val="00A377CD"/>
    <w:rsid w:val="00A46AE3"/>
    <w:rsid w:val="00A97CB3"/>
    <w:rsid w:val="00AE5D2A"/>
    <w:rsid w:val="00AE7031"/>
    <w:rsid w:val="00AE7B00"/>
    <w:rsid w:val="00AF6DFA"/>
    <w:rsid w:val="00B03463"/>
    <w:rsid w:val="00B339E3"/>
    <w:rsid w:val="00B678EE"/>
    <w:rsid w:val="00B74D03"/>
    <w:rsid w:val="00C505A9"/>
    <w:rsid w:val="00C53021"/>
    <w:rsid w:val="00C530F0"/>
    <w:rsid w:val="00C63A21"/>
    <w:rsid w:val="00C66DC1"/>
    <w:rsid w:val="00C77D43"/>
    <w:rsid w:val="00CE734B"/>
    <w:rsid w:val="00CF2C08"/>
    <w:rsid w:val="00D10A0C"/>
    <w:rsid w:val="00D15D4A"/>
    <w:rsid w:val="00D3101D"/>
    <w:rsid w:val="00D43369"/>
    <w:rsid w:val="00D8208E"/>
    <w:rsid w:val="00D96D70"/>
    <w:rsid w:val="00DA0972"/>
    <w:rsid w:val="00DD138D"/>
    <w:rsid w:val="00DE2247"/>
    <w:rsid w:val="00E505FA"/>
    <w:rsid w:val="00E5530F"/>
    <w:rsid w:val="00E659F8"/>
    <w:rsid w:val="00E77699"/>
    <w:rsid w:val="00E826B2"/>
    <w:rsid w:val="00E875BC"/>
    <w:rsid w:val="00EC54FC"/>
    <w:rsid w:val="00ED7F27"/>
    <w:rsid w:val="00F42F78"/>
    <w:rsid w:val="00F808D5"/>
    <w:rsid w:val="00FA131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1A3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1A31C3"/>
  </w:style>
  <w:style w:type="character" w:customStyle="1" w:styleId="grame">
    <w:name w:val="grame"/>
    <w:basedOn w:val="VarsaylanParagrafYazTipi"/>
    <w:rsid w:val="001A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1A3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1A31C3"/>
  </w:style>
  <w:style w:type="character" w:customStyle="1" w:styleId="grame">
    <w:name w:val="grame"/>
    <w:basedOn w:val="VarsaylanParagrafYazTipi"/>
    <w:rsid w:val="001A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1C2BC-6B13-4E5D-A50C-47B88644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836</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12</cp:revision>
  <dcterms:created xsi:type="dcterms:W3CDTF">2022-12-07T11:35:00Z</dcterms:created>
  <dcterms:modified xsi:type="dcterms:W3CDTF">2023-09-11T12:41:00Z</dcterms:modified>
</cp:coreProperties>
</file>