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BEDD8" w14:textId="59EAFE3F" w:rsidR="00BA7FC0" w:rsidRPr="009568A5" w:rsidRDefault="009568A5" w:rsidP="005265D8">
      <w:pPr>
        <w:spacing w:after="0" w:line="240" w:lineRule="auto"/>
        <w:jc w:val="center"/>
        <w:rPr>
          <w:b/>
          <w:bCs/>
          <w:sz w:val="28"/>
          <w:szCs w:val="28"/>
        </w:rPr>
      </w:pPr>
      <w:r w:rsidRPr="009568A5">
        <w:rPr>
          <w:b/>
          <w:bCs/>
          <w:sz w:val="28"/>
          <w:szCs w:val="28"/>
        </w:rPr>
        <w:t>Kimya Bölümü Bitirme Tezi Değerlendirme Süreci</w:t>
      </w:r>
    </w:p>
    <w:p w14:paraId="24C4841E" w14:textId="77777777" w:rsidR="009568A5" w:rsidRPr="009568A5" w:rsidRDefault="009568A5" w:rsidP="005265D8">
      <w:pPr>
        <w:spacing w:before="60" w:after="0" w:line="264" w:lineRule="auto"/>
        <w:jc w:val="both"/>
        <w:outlineLvl w:val="0"/>
        <w:rPr>
          <w:rFonts w:eastAsia="Times New Roman"/>
          <w:b/>
          <w:bCs/>
          <w:kern w:val="36"/>
          <w:lang w:eastAsia="tr-TR"/>
          <w14:ligatures w14:val="none"/>
        </w:rPr>
      </w:pPr>
      <w:r w:rsidRPr="009568A5">
        <w:rPr>
          <w:rFonts w:eastAsia="Times New Roman"/>
          <w:b/>
          <w:bCs/>
          <w:kern w:val="36"/>
          <w:lang w:eastAsia="tr-TR"/>
          <w14:ligatures w14:val="none"/>
        </w:rPr>
        <w:t>1. Bitirme Tezi Değerlendirme Süreci</w:t>
      </w:r>
    </w:p>
    <w:p w14:paraId="0826E64A" w14:textId="77777777" w:rsidR="00581252" w:rsidRDefault="00581252" w:rsidP="005265D8">
      <w:pPr>
        <w:pStyle w:val="NormalWeb"/>
        <w:spacing w:before="60" w:beforeAutospacing="0" w:after="0" w:afterAutospacing="0" w:line="264" w:lineRule="auto"/>
        <w:jc w:val="both"/>
      </w:pPr>
      <w:r>
        <w:t xml:space="preserve">Kimya Bölümü Bitirme Tezi I ve Bitirme Tezi II dersleri kapsamında öğrencilerin danışman öğretim elemanı rehberliğinde bilimsel bir araştırma çalışması yürütmeleri beklenmektedir. Öğrenciler, birlikte çalışacakları danışman öğretim elemanını belirledikten sonra </w:t>
      </w:r>
      <w:r>
        <w:rPr>
          <w:rStyle w:val="Gl"/>
          <w:rFonts w:eastAsiaTheme="majorEastAsia"/>
        </w:rPr>
        <w:t>Danışman Atama Formu</w:t>
      </w:r>
      <w:r>
        <w:t xml:space="preserve">nu doldurarak bölüm başkanlığına teslim ederler. Danışman atamasının tamamlanmasının ardından bitirme tezi konuları, öğrencilerin ilgi alanları ve bölümün araştırma olanakları dikkate alınarak danışman öğretim elemanları tarafından belirlenir. </w:t>
      </w:r>
    </w:p>
    <w:p w14:paraId="6AA7484A" w14:textId="3D3A7F00" w:rsidR="00581252" w:rsidRDefault="00581252" w:rsidP="005265D8">
      <w:pPr>
        <w:pStyle w:val="NormalWeb"/>
        <w:spacing w:before="60" w:beforeAutospacing="0" w:after="0" w:afterAutospacing="0" w:line="264" w:lineRule="auto"/>
        <w:jc w:val="both"/>
      </w:pPr>
      <w:r>
        <w:t>Bitirme Tezi I dersinde öğrencilerin tez konusuna yönelik literatür araştırması yapmaları, çalışmanın kapsamını belirlemeleri ve araştırma planını oluşturmaları beklenir. Bitirme Tezi II dersinde ise yürütülen çalışmanın tamamlanması, elde edilen sonuçların değerlendirilmesi ve tez raporunun hazırlanması amaçlanır.</w:t>
      </w:r>
    </w:p>
    <w:p w14:paraId="2E8D277C" w14:textId="77777777" w:rsidR="00581252" w:rsidRPr="00581252" w:rsidRDefault="00581252" w:rsidP="005265D8">
      <w:pPr>
        <w:pStyle w:val="NormalWeb"/>
        <w:spacing w:before="60" w:beforeAutospacing="0" w:after="0" w:afterAutospacing="0" w:line="264" w:lineRule="auto"/>
        <w:jc w:val="both"/>
        <w:rPr>
          <w:b/>
          <w:bCs/>
        </w:rPr>
      </w:pPr>
      <w:r>
        <w:t xml:space="preserve">Hazırlanan bitirme tezi, bölüm tarafından belirlenen tez yazım kurallarına uygun şekilde hazırlanmalıdır. Öğrenciler tez çalışmalarını tamamladıktan sonra tezlerini </w:t>
      </w:r>
      <w:r w:rsidRPr="00581252">
        <w:rPr>
          <w:rStyle w:val="Gl"/>
          <w:rFonts w:eastAsiaTheme="majorEastAsia"/>
          <w:b w:val="0"/>
          <w:bCs w:val="0"/>
        </w:rPr>
        <w:t xml:space="preserve">belirlenen formatta ciltlenmiş olarak eğitim-öğretim yarıyılının </w:t>
      </w:r>
      <w:r w:rsidRPr="00581252">
        <w:rPr>
          <w:rStyle w:val="Gl"/>
          <w:rFonts w:eastAsiaTheme="majorEastAsia"/>
        </w:rPr>
        <w:t>en geç</w:t>
      </w:r>
      <w:r>
        <w:rPr>
          <w:rStyle w:val="Gl"/>
          <w:rFonts w:eastAsiaTheme="majorEastAsia"/>
        </w:rPr>
        <w:t xml:space="preserve"> 10. haftası içerisinde </w:t>
      </w:r>
      <w:r w:rsidRPr="00581252">
        <w:rPr>
          <w:rStyle w:val="Gl"/>
          <w:rFonts w:eastAsiaTheme="majorEastAsia"/>
          <w:b w:val="0"/>
          <w:bCs w:val="0"/>
        </w:rPr>
        <w:t>bölüm başkanlığına veya danışman öğretim elemanına teslim etmekle yükümlüdür</w:t>
      </w:r>
      <w:r w:rsidRPr="00581252">
        <w:rPr>
          <w:b/>
          <w:bCs/>
        </w:rPr>
        <w:t>.</w:t>
      </w:r>
    </w:p>
    <w:p w14:paraId="78308966" w14:textId="07EA207B" w:rsidR="00581252" w:rsidRDefault="00581252" w:rsidP="005265D8">
      <w:pPr>
        <w:pStyle w:val="NormalWeb"/>
        <w:spacing w:before="60" w:beforeAutospacing="0" w:after="0" w:afterAutospacing="0" w:line="264" w:lineRule="auto"/>
        <w:jc w:val="both"/>
      </w:pPr>
      <w:r>
        <w:t xml:space="preserve">Tezlerini teslim eden öğrenciler, hazırladıkları bitirme tezini </w:t>
      </w:r>
      <w:r>
        <w:rPr>
          <w:rStyle w:val="Gl"/>
          <w:rFonts w:eastAsiaTheme="majorEastAsia"/>
        </w:rPr>
        <w:t xml:space="preserve">sözlü </w:t>
      </w:r>
      <w:r w:rsidR="005265D8">
        <w:rPr>
          <w:rStyle w:val="Gl"/>
          <w:rFonts w:eastAsiaTheme="majorEastAsia"/>
        </w:rPr>
        <w:t xml:space="preserve">veya poster sunumu </w:t>
      </w:r>
      <w:r>
        <w:rPr>
          <w:rStyle w:val="Gl"/>
          <w:rFonts w:eastAsiaTheme="majorEastAsia"/>
        </w:rPr>
        <w:t>olarak sunar ve savunurlar</w:t>
      </w:r>
      <w:r>
        <w:t xml:space="preserve">. Bitirme tezi sunumları genellikle </w:t>
      </w:r>
      <w:r w:rsidRPr="00581252">
        <w:rPr>
          <w:rStyle w:val="Gl"/>
          <w:rFonts w:eastAsiaTheme="majorEastAsia"/>
          <w:b w:val="0"/>
          <w:bCs w:val="0"/>
        </w:rPr>
        <w:t>yarıyılın</w:t>
      </w:r>
      <w:r>
        <w:rPr>
          <w:rStyle w:val="Gl"/>
          <w:rFonts w:eastAsiaTheme="majorEastAsia"/>
        </w:rPr>
        <w:t xml:space="preserve"> 11–14. haftaları arasında</w:t>
      </w:r>
      <w:r>
        <w:t xml:space="preserve"> gerçekleştirilir. Sunum sırasında öğrencinin çalışmasının amacı, yöntemi, elde edilen bulgular ve sonuçları açık ve anlaşılır şekilde ifade etmesi beklenir. </w:t>
      </w:r>
    </w:p>
    <w:p w14:paraId="79140796" w14:textId="7F0ABC55" w:rsidR="00581252" w:rsidRDefault="00581252" w:rsidP="005265D8">
      <w:pPr>
        <w:pStyle w:val="NormalWeb"/>
        <w:spacing w:before="60" w:beforeAutospacing="0" w:after="0" w:afterAutospacing="0" w:line="264" w:lineRule="auto"/>
        <w:jc w:val="both"/>
      </w:pPr>
      <w:r>
        <w:t xml:space="preserve">Bitirme tezi değerlendirme sürecinde yazılı sınav yapılmaz. Öğrencinin başarısı, hazırladığı tez raporu ve sözlü sunum performansı dikkate alınarak belirlenir. Sunum ve savunma aşamasının ardından </w:t>
      </w:r>
      <w:r w:rsidR="005265D8">
        <w:t>danışman öğretim üyesi</w:t>
      </w:r>
      <w:r>
        <w:t xml:space="preserve"> tarafından yapılan değerlendirme sonucunda öğrencinin bitirme tezi başarılı veya başarısız olarak sonuçlandırılır.</w:t>
      </w:r>
    </w:p>
    <w:p w14:paraId="53EAB601" w14:textId="77777777" w:rsidR="009568A5" w:rsidRPr="009568A5" w:rsidRDefault="009568A5" w:rsidP="005265D8">
      <w:pPr>
        <w:spacing w:before="60" w:after="0" w:line="264" w:lineRule="auto"/>
        <w:jc w:val="both"/>
        <w:outlineLvl w:val="0"/>
        <w:rPr>
          <w:rFonts w:eastAsia="Times New Roman"/>
          <w:b/>
          <w:bCs/>
          <w:kern w:val="36"/>
          <w:lang w:eastAsia="tr-TR"/>
          <w14:ligatures w14:val="none"/>
        </w:rPr>
      </w:pPr>
      <w:r w:rsidRPr="009568A5">
        <w:rPr>
          <w:rFonts w:eastAsia="Times New Roman"/>
          <w:b/>
          <w:bCs/>
          <w:kern w:val="36"/>
          <w:lang w:eastAsia="tr-TR"/>
          <w14:ligatures w14:val="none"/>
        </w:rPr>
        <w:t>2. Puanlama Ölçeği ve Değerlendirme</w:t>
      </w:r>
    </w:p>
    <w:p w14:paraId="0E6641E7" w14:textId="59E80C14" w:rsidR="00581252" w:rsidRDefault="00581252" w:rsidP="005265D8">
      <w:pPr>
        <w:pStyle w:val="NormalWeb"/>
        <w:spacing w:before="60" w:beforeAutospacing="0" w:after="0" w:afterAutospacing="0" w:line="264" w:lineRule="auto"/>
        <w:jc w:val="both"/>
      </w:pPr>
      <w:r>
        <w:t xml:space="preserve">Bitirme tezinin değerlendirilmesi danışman öğretim elemanı tarafından yapılır. Değerlendirme sürecinde öğrencinin çalışması; konunun bilimsel niteliği, literatür taramasının yeterliliği, kullanılan yöntem veya çalışma yaklaşımı, elde edilen bulguların analizi, sonuçların bilimsel olarak tartışılması, yazım kurallarına uygunluk ve sunum becerileri gibi ölçütler dikkate alınarak hazırlanmış </w:t>
      </w:r>
      <w:r>
        <w:rPr>
          <w:rStyle w:val="Gl"/>
          <w:rFonts w:eastAsiaTheme="majorEastAsia"/>
        </w:rPr>
        <w:t>değerlendirme rubriği</w:t>
      </w:r>
      <w:r>
        <w:t xml:space="preserve"> üzerinden puanlanır.</w:t>
      </w:r>
    </w:p>
    <w:p w14:paraId="03FAEE3F" w14:textId="77777777" w:rsidR="00581252" w:rsidRDefault="00581252" w:rsidP="005265D8">
      <w:pPr>
        <w:pStyle w:val="NormalWeb"/>
        <w:spacing w:before="60" w:beforeAutospacing="0" w:after="0" w:afterAutospacing="0" w:line="264" w:lineRule="auto"/>
        <w:jc w:val="both"/>
      </w:pPr>
      <w:r>
        <w:t>Danışman öğretim elemanı öğrencinin dönem boyunca yürüttüğü çalışma sürecini takip eder ve tez çalışmasının planlanması, yürütülmesi ve raporlanması aşamalarında öğrenciye akademik rehberlik yapar. Danışman, öğrencinin araştırma sürecindeki performansını değerlendirerek dönem içi değerlendirme notunu verir.</w:t>
      </w:r>
    </w:p>
    <w:p w14:paraId="31A87765" w14:textId="77777777" w:rsidR="00581252" w:rsidRDefault="00581252" w:rsidP="005265D8">
      <w:pPr>
        <w:pStyle w:val="NormalWeb"/>
        <w:spacing w:before="60" w:beforeAutospacing="0" w:after="0" w:afterAutospacing="0" w:line="264" w:lineRule="auto"/>
        <w:jc w:val="both"/>
      </w:pPr>
      <w:r>
        <w:t>Bitirme tezi değerlendirme puanı, rubrikte belirtilen ölçütler doğrultusunda verilen puanların toplamı ile belirlenir. Elde edilen puan öğrencinin ders başarı notuna dönüştürülür. Değerlendirme sürecinde tez çalışmasının bilimsel niteliği, yazım kurallarına uygunluğu ve öğrencinin çalışmasını sözlü olarak savunabilme yeteneği temel ölçütler olarak dikkate alınır.</w:t>
      </w:r>
    </w:p>
    <w:p w14:paraId="494FC303" w14:textId="77777777" w:rsidR="005265D8" w:rsidRDefault="005265D8" w:rsidP="005265D8">
      <w:pPr>
        <w:spacing w:after="0" w:line="240" w:lineRule="auto"/>
        <w:jc w:val="both"/>
        <w:rPr>
          <w:rFonts w:eastAsia="Times New Roman"/>
          <w:b/>
          <w:bCs/>
          <w:kern w:val="0"/>
          <w:lang w:eastAsia="tr-TR"/>
          <w14:ligatures w14:val="none"/>
        </w:rPr>
      </w:pPr>
    </w:p>
    <w:p w14:paraId="1BC1A340" w14:textId="26669ADC" w:rsidR="009568A5" w:rsidRPr="009568A5" w:rsidRDefault="009568A5" w:rsidP="005265D8">
      <w:pPr>
        <w:spacing w:after="0" w:line="240" w:lineRule="auto"/>
        <w:jc w:val="both"/>
        <w:rPr>
          <w:rFonts w:eastAsia="Times New Roman"/>
          <w:b/>
          <w:bCs/>
          <w:kern w:val="0"/>
          <w:lang w:eastAsia="tr-TR"/>
          <w14:ligatures w14:val="none"/>
        </w:rPr>
      </w:pPr>
      <w:r w:rsidRPr="009568A5">
        <w:rPr>
          <w:rFonts w:eastAsia="Times New Roman"/>
          <w:b/>
          <w:bCs/>
          <w:kern w:val="0"/>
          <w:lang w:eastAsia="tr-TR"/>
          <w14:ligatures w14:val="none"/>
        </w:rPr>
        <w:t>Puanlama Ölçeği</w:t>
      </w:r>
    </w:p>
    <w:tbl>
      <w:tblPr>
        <w:tblStyle w:val="TabloKlavuzu"/>
        <w:tblW w:w="5451" w:type="dxa"/>
        <w:tblLook w:val="04A0" w:firstRow="1" w:lastRow="0" w:firstColumn="1" w:lastColumn="0" w:noHBand="0" w:noVBand="1"/>
      </w:tblPr>
      <w:tblGrid>
        <w:gridCol w:w="1900"/>
        <w:gridCol w:w="3551"/>
      </w:tblGrid>
      <w:tr w:rsidR="005265D8" w:rsidRPr="009568A5" w14:paraId="55FFED9D" w14:textId="77777777" w:rsidTr="00AC25BC">
        <w:trPr>
          <w:trHeight w:val="278"/>
        </w:trPr>
        <w:tc>
          <w:tcPr>
            <w:tcW w:w="0" w:type="auto"/>
            <w:hideMark/>
          </w:tcPr>
          <w:p w14:paraId="01D24B27" w14:textId="77777777" w:rsidR="005265D8" w:rsidRPr="009568A5" w:rsidRDefault="005265D8" w:rsidP="00AC25BC">
            <w:pPr>
              <w:jc w:val="center"/>
              <w:rPr>
                <w:rFonts w:eastAsia="Times New Roman"/>
                <w:b/>
                <w:bCs/>
                <w:kern w:val="0"/>
                <w:lang w:eastAsia="tr-TR"/>
                <w14:ligatures w14:val="none"/>
              </w:rPr>
            </w:pPr>
            <w:r w:rsidRPr="009568A5">
              <w:rPr>
                <w:rFonts w:eastAsia="Times New Roman"/>
                <w:b/>
                <w:bCs/>
                <w:kern w:val="0"/>
                <w:lang w:eastAsia="tr-TR"/>
                <w14:ligatures w14:val="none"/>
              </w:rPr>
              <w:t>Puan</w:t>
            </w:r>
          </w:p>
        </w:tc>
        <w:tc>
          <w:tcPr>
            <w:tcW w:w="0" w:type="auto"/>
            <w:hideMark/>
          </w:tcPr>
          <w:p w14:paraId="7B99CAA4" w14:textId="77777777" w:rsidR="005265D8" w:rsidRPr="009568A5" w:rsidRDefault="005265D8" w:rsidP="00AC25BC">
            <w:pPr>
              <w:jc w:val="center"/>
              <w:rPr>
                <w:rFonts w:eastAsia="Times New Roman"/>
                <w:b/>
                <w:bCs/>
                <w:kern w:val="0"/>
                <w:lang w:eastAsia="tr-TR"/>
                <w14:ligatures w14:val="none"/>
              </w:rPr>
            </w:pPr>
            <w:r w:rsidRPr="009568A5">
              <w:rPr>
                <w:rFonts w:eastAsia="Times New Roman"/>
                <w:b/>
                <w:bCs/>
                <w:kern w:val="0"/>
                <w:lang w:eastAsia="tr-TR"/>
                <w14:ligatures w14:val="none"/>
              </w:rPr>
              <w:t>Değerlendirme</w:t>
            </w:r>
          </w:p>
        </w:tc>
      </w:tr>
      <w:tr w:rsidR="005265D8" w:rsidRPr="009568A5" w14:paraId="354288BB" w14:textId="77777777" w:rsidTr="00AC25BC">
        <w:trPr>
          <w:trHeight w:val="278"/>
        </w:trPr>
        <w:tc>
          <w:tcPr>
            <w:tcW w:w="0" w:type="auto"/>
            <w:hideMark/>
          </w:tcPr>
          <w:p w14:paraId="564B9080" w14:textId="77777777" w:rsidR="005265D8" w:rsidRPr="009568A5" w:rsidRDefault="005265D8" w:rsidP="00AC25BC">
            <w:pPr>
              <w:rPr>
                <w:rFonts w:eastAsia="Times New Roman"/>
                <w:kern w:val="0"/>
                <w:lang w:eastAsia="tr-TR"/>
                <w14:ligatures w14:val="none"/>
              </w:rPr>
            </w:pPr>
            <w:r w:rsidRPr="009568A5">
              <w:rPr>
                <w:rFonts w:eastAsia="Times New Roman"/>
                <w:kern w:val="0"/>
                <w:lang w:eastAsia="tr-TR"/>
                <w14:ligatures w14:val="none"/>
              </w:rPr>
              <w:t>90–100</w:t>
            </w:r>
          </w:p>
        </w:tc>
        <w:tc>
          <w:tcPr>
            <w:tcW w:w="0" w:type="auto"/>
            <w:hideMark/>
          </w:tcPr>
          <w:p w14:paraId="2BF370FE" w14:textId="77777777" w:rsidR="005265D8" w:rsidRPr="009568A5" w:rsidRDefault="005265D8" w:rsidP="00AC25BC">
            <w:pPr>
              <w:rPr>
                <w:rFonts w:eastAsia="Times New Roman"/>
                <w:kern w:val="0"/>
                <w:lang w:eastAsia="tr-TR"/>
                <w14:ligatures w14:val="none"/>
              </w:rPr>
            </w:pPr>
            <w:r w:rsidRPr="009568A5">
              <w:rPr>
                <w:rFonts w:eastAsia="Times New Roman"/>
                <w:kern w:val="0"/>
                <w:lang w:eastAsia="tr-TR"/>
                <w14:ligatures w14:val="none"/>
              </w:rPr>
              <w:t>Mükemmel</w:t>
            </w:r>
          </w:p>
        </w:tc>
      </w:tr>
      <w:tr w:rsidR="005265D8" w:rsidRPr="009568A5" w14:paraId="4D9F3720" w14:textId="77777777" w:rsidTr="00AC25BC">
        <w:trPr>
          <w:trHeight w:val="278"/>
        </w:trPr>
        <w:tc>
          <w:tcPr>
            <w:tcW w:w="0" w:type="auto"/>
            <w:hideMark/>
          </w:tcPr>
          <w:p w14:paraId="54843A36" w14:textId="77777777" w:rsidR="005265D8" w:rsidRPr="009568A5" w:rsidRDefault="005265D8" w:rsidP="00AC25BC">
            <w:pPr>
              <w:rPr>
                <w:rFonts w:eastAsia="Times New Roman"/>
                <w:kern w:val="0"/>
                <w:lang w:eastAsia="tr-TR"/>
                <w14:ligatures w14:val="none"/>
              </w:rPr>
            </w:pPr>
            <w:r w:rsidRPr="009568A5">
              <w:rPr>
                <w:rFonts w:eastAsia="Times New Roman"/>
                <w:kern w:val="0"/>
                <w:lang w:eastAsia="tr-TR"/>
                <w14:ligatures w14:val="none"/>
              </w:rPr>
              <w:t>80–89</w:t>
            </w:r>
          </w:p>
        </w:tc>
        <w:tc>
          <w:tcPr>
            <w:tcW w:w="0" w:type="auto"/>
            <w:hideMark/>
          </w:tcPr>
          <w:p w14:paraId="6FBA0002" w14:textId="77777777" w:rsidR="005265D8" w:rsidRPr="009568A5" w:rsidRDefault="005265D8" w:rsidP="00AC25BC">
            <w:pPr>
              <w:rPr>
                <w:rFonts w:eastAsia="Times New Roman"/>
                <w:kern w:val="0"/>
                <w:lang w:eastAsia="tr-TR"/>
                <w14:ligatures w14:val="none"/>
              </w:rPr>
            </w:pPr>
            <w:r w:rsidRPr="009568A5">
              <w:rPr>
                <w:rFonts w:eastAsia="Times New Roman"/>
                <w:kern w:val="0"/>
                <w:lang w:eastAsia="tr-TR"/>
                <w14:ligatures w14:val="none"/>
              </w:rPr>
              <w:t>Çok İyi</w:t>
            </w:r>
          </w:p>
        </w:tc>
      </w:tr>
      <w:tr w:rsidR="005265D8" w:rsidRPr="009568A5" w14:paraId="1ECE8165" w14:textId="77777777" w:rsidTr="00AC25BC">
        <w:trPr>
          <w:trHeight w:val="292"/>
        </w:trPr>
        <w:tc>
          <w:tcPr>
            <w:tcW w:w="0" w:type="auto"/>
            <w:hideMark/>
          </w:tcPr>
          <w:p w14:paraId="70129DC4" w14:textId="77777777" w:rsidR="005265D8" w:rsidRPr="009568A5" w:rsidRDefault="005265D8" w:rsidP="00AC25BC">
            <w:pPr>
              <w:rPr>
                <w:rFonts w:eastAsia="Times New Roman"/>
                <w:kern w:val="0"/>
                <w:lang w:eastAsia="tr-TR"/>
                <w14:ligatures w14:val="none"/>
              </w:rPr>
            </w:pPr>
            <w:r w:rsidRPr="009568A5">
              <w:rPr>
                <w:rFonts w:eastAsia="Times New Roman"/>
                <w:kern w:val="0"/>
                <w:lang w:eastAsia="tr-TR"/>
                <w14:ligatures w14:val="none"/>
              </w:rPr>
              <w:t>70–79</w:t>
            </w:r>
          </w:p>
        </w:tc>
        <w:tc>
          <w:tcPr>
            <w:tcW w:w="0" w:type="auto"/>
            <w:hideMark/>
          </w:tcPr>
          <w:p w14:paraId="153B4B90" w14:textId="77777777" w:rsidR="005265D8" w:rsidRPr="009568A5" w:rsidRDefault="005265D8" w:rsidP="00AC25BC">
            <w:pPr>
              <w:rPr>
                <w:rFonts w:eastAsia="Times New Roman"/>
                <w:kern w:val="0"/>
                <w:lang w:eastAsia="tr-TR"/>
                <w14:ligatures w14:val="none"/>
              </w:rPr>
            </w:pPr>
            <w:r w:rsidRPr="009568A5">
              <w:rPr>
                <w:rFonts w:eastAsia="Times New Roman"/>
                <w:kern w:val="0"/>
                <w:lang w:eastAsia="tr-TR"/>
                <w14:ligatures w14:val="none"/>
              </w:rPr>
              <w:t>İyi</w:t>
            </w:r>
          </w:p>
        </w:tc>
      </w:tr>
      <w:tr w:rsidR="005265D8" w:rsidRPr="009568A5" w14:paraId="6C8B1F05" w14:textId="77777777" w:rsidTr="00AC25BC">
        <w:trPr>
          <w:trHeight w:val="278"/>
        </w:trPr>
        <w:tc>
          <w:tcPr>
            <w:tcW w:w="0" w:type="auto"/>
            <w:hideMark/>
          </w:tcPr>
          <w:p w14:paraId="7346CE5D" w14:textId="77777777" w:rsidR="005265D8" w:rsidRPr="009568A5" w:rsidRDefault="005265D8" w:rsidP="00AC25BC">
            <w:pPr>
              <w:rPr>
                <w:rFonts w:eastAsia="Times New Roman"/>
                <w:kern w:val="0"/>
                <w:lang w:eastAsia="tr-TR"/>
                <w14:ligatures w14:val="none"/>
              </w:rPr>
            </w:pPr>
            <w:r w:rsidRPr="009568A5">
              <w:rPr>
                <w:rFonts w:eastAsia="Times New Roman"/>
                <w:kern w:val="0"/>
                <w:lang w:eastAsia="tr-TR"/>
                <w14:ligatures w14:val="none"/>
              </w:rPr>
              <w:t>60–69</w:t>
            </w:r>
          </w:p>
        </w:tc>
        <w:tc>
          <w:tcPr>
            <w:tcW w:w="0" w:type="auto"/>
            <w:hideMark/>
          </w:tcPr>
          <w:p w14:paraId="7E67BB58" w14:textId="77777777" w:rsidR="005265D8" w:rsidRPr="009568A5" w:rsidRDefault="005265D8" w:rsidP="00AC25BC">
            <w:pPr>
              <w:rPr>
                <w:rFonts w:eastAsia="Times New Roman"/>
                <w:kern w:val="0"/>
                <w:lang w:eastAsia="tr-TR"/>
                <w14:ligatures w14:val="none"/>
              </w:rPr>
            </w:pPr>
            <w:r w:rsidRPr="009568A5">
              <w:rPr>
                <w:rFonts w:eastAsia="Times New Roman"/>
                <w:kern w:val="0"/>
                <w:lang w:eastAsia="tr-TR"/>
                <w14:ligatures w14:val="none"/>
              </w:rPr>
              <w:t>Yeterli</w:t>
            </w:r>
          </w:p>
        </w:tc>
      </w:tr>
      <w:tr w:rsidR="005265D8" w:rsidRPr="009568A5" w14:paraId="4E33E0D1" w14:textId="77777777" w:rsidTr="00AC25BC">
        <w:trPr>
          <w:trHeight w:val="278"/>
        </w:trPr>
        <w:tc>
          <w:tcPr>
            <w:tcW w:w="0" w:type="auto"/>
            <w:hideMark/>
          </w:tcPr>
          <w:p w14:paraId="3031ECFE" w14:textId="77777777" w:rsidR="005265D8" w:rsidRPr="009568A5" w:rsidRDefault="005265D8" w:rsidP="00AC25BC">
            <w:pPr>
              <w:rPr>
                <w:rFonts w:eastAsia="Times New Roman"/>
                <w:kern w:val="0"/>
                <w:lang w:eastAsia="tr-TR"/>
                <w14:ligatures w14:val="none"/>
              </w:rPr>
            </w:pPr>
            <w:r w:rsidRPr="009568A5">
              <w:rPr>
                <w:rFonts w:eastAsia="Times New Roman"/>
                <w:kern w:val="0"/>
                <w:lang w:eastAsia="tr-TR"/>
                <w14:ligatures w14:val="none"/>
              </w:rPr>
              <w:t>0–59</w:t>
            </w:r>
          </w:p>
        </w:tc>
        <w:tc>
          <w:tcPr>
            <w:tcW w:w="0" w:type="auto"/>
            <w:hideMark/>
          </w:tcPr>
          <w:p w14:paraId="065D8E97" w14:textId="77777777" w:rsidR="005265D8" w:rsidRPr="009568A5" w:rsidRDefault="005265D8" w:rsidP="00AC25BC">
            <w:pPr>
              <w:rPr>
                <w:rFonts w:eastAsia="Times New Roman"/>
                <w:kern w:val="0"/>
                <w:lang w:eastAsia="tr-TR"/>
                <w14:ligatures w14:val="none"/>
              </w:rPr>
            </w:pPr>
            <w:r w:rsidRPr="009568A5">
              <w:rPr>
                <w:rFonts w:eastAsia="Times New Roman"/>
                <w:kern w:val="0"/>
                <w:lang w:eastAsia="tr-TR"/>
                <w14:ligatures w14:val="none"/>
              </w:rPr>
              <w:t>Başarısız</w:t>
            </w:r>
          </w:p>
        </w:tc>
      </w:tr>
    </w:tbl>
    <w:p w14:paraId="6772E2F8" w14:textId="77777777" w:rsidR="009568A5" w:rsidRPr="009568A5" w:rsidRDefault="009568A5" w:rsidP="005265D8">
      <w:pPr>
        <w:spacing w:after="0" w:line="240" w:lineRule="auto"/>
        <w:jc w:val="both"/>
      </w:pPr>
    </w:p>
    <w:sectPr w:rsidR="009568A5" w:rsidRPr="009568A5" w:rsidSect="005265D8">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D53CF9"/>
    <w:multiLevelType w:val="multilevel"/>
    <w:tmpl w:val="DD1E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69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A5"/>
    <w:rsid w:val="005265D8"/>
    <w:rsid w:val="00581252"/>
    <w:rsid w:val="009568A5"/>
    <w:rsid w:val="00BA7FC0"/>
    <w:rsid w:val="00D73E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FB8B"/>
  <w15:chartTrackingRefBased/>
  <w15:docId w15:val="{01E571BE-4134-4E20-8635-B721870F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56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56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568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568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9568A5"/>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9568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9568A5"/>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9568A5"/>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9568A5"/>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68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568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568A5"/>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568A5"/>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9568A5"/>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9568A5"/>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9568A5"/>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9568A5"/>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9568A5"/>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956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68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68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68A5"/>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9568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68A5"/>
    <w:rPr>
      <w:i/>
      <w:iCs/>
      <w:color w:val="404040" w:themeColor="text1" w:themeTint="BF"/>
    </w:rPr>
  </w:style>
  <w:style w:type="paragraph" w:styleId="ListeParagraf">
    <w:name w:val="List Paragraph"/>
    <w:basedOn w:val="Normal"/>
    <w:uiPriority w:val="34"/>
    <w:qFormat/>
    <w:rsid w:val="009568A5"/>
    <w:pPr>
      <w:ind w:left="720"/>
      <w:contextualSpacing/>
    </w:pPr>
  </w:style>
  <w:style w:type="character" w:styleId="GlVurgulama">
    <w:name w:val="Intense Emphasis"/>
    <w:basedOn w:val="VarsaylanParagrafYazTipi"/>
    <w:uiPriority w:val="21"/>
    <w:qFormat/>
    <w:rsid w:val="009568A5"/>
    <w:rPr>
      <w:i/>
      <w:iCs/>
      <w:color w:val="0F4761" w:themeColor="accent1" w:themeShade="BF"/>
    </w:rPr>
  </w:style>
  <w:style w:type="paragraph" w:styleId="GlAlnt">
    <w:name w:val="Intense Quote"/>
    <w:basedOn w:val="Normal"/>
    <w:next w:val="Normal"/>
    <w:link w:val="GlAlntChar"/>
    <w:uiPriority w:val="30"/>
    <w:qFormat/>
    <w:rsid w:val="00956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568A5"/>
    <w:rPr>
      <w:i/>
      <w:iCs/>
      <w:color w:val="0F4761" w:themeColor="accent1" w:themeShade="BF"/>
    </w:rPr>
  </w:style>
  <w:style w:type="character" w:styleId="GlBavuru">
    <w:name w:val="Intense Reference"/>
    <w:basedOn w:val="VarsaylanParagrafYazTipi"/>
    <w:uiPriority w:val="32"/>
    <w:qFormat/>
    <w:rsid w:val="009568A5"/>
    <w:rPr>
      <w:b/>
      <w:bCs/>
      <w:smallCaps/>
      <w:color w:val="0F4761" w:themeColor="accent1" w:themeShade="BF"/>
      <w:spacing w:val="5"/>
    </w:rPr>
  </w:style>
  <w:style w:type="paragraph" w:styleId="NormalWeb">
    <w:name w:val="Normal (Web)"/>
    <w:basedOn w:val="Normal"/>
    <w:uiPriority w:val="99"/>
    <w:semiHidden/>
    <w:unhideWhenUsed/>
    <w:rsid w:val="009568A5"/>
    <w:pPr>
      <w:spacing w:before="100" w:beforeAutospacing="1" w:after="100" w:afterAutospacing="1" w:line="240" w:lineRule="auto"/>
    </w:pPr>
    <w:rPr>
      <w:rFonts w:eastAsia="Times New Roman"/>
      <w:kern w:val="0"/>
      <w:lang w:eastAsia="tr-TR"/>
      <w14:ligatures w14:val="none"/>
    </w:rPr>
  </w:style>
  <w:style w:type="character" w:styleId="Gl">
    <w:name w:val="Strong"/>
    <w:basedOn w:val="VarsaylanParagrafYazTipi"/>
    <w:uiPriority w:val="22"/>
    <w:qFormat/>
    <w:rsid w:val="009568A5"/>
    <w:rPr>
      <w:b/>
      <w:bCs/>
    </w:rPr>
  </w:style>
  <w:style w:type="table" w:styleId="KlavuzTablo1Ak">
    <w:name w:val="Grid Table 1 Light"/>
    <w:basedOn w:val="NormalTablo"/>
    <w:uiPriority w:val="46"/>
    <w:rsid w:val="009568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39"/>
    <w:rsid w:val="0095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863757">
      <w:bodyDiv w:val="1"/>
      <w:marLeft w:val="0"/>
      <w:marRight w:val="0"/>
      <w:marTop w:val="0"/>
      <w:marBottom w:val="0"/>
      <w:divBdr>
        <w:top w:val="none" w:sz="0" w:space="0" w:color="auto"/>
        <w:left w:val="none" w:sz="0" w:space="0" w:color="auto"/>
        <w:bottom w:val="none" w:sz="0" w:space="0" w:color="auto"/>
        <w:right w:val="none" w:sz="0" w:space="0" w:color="auto"/>
      </w:divBdr>
    </w:div>
    <w:div w:id="989135885">
      <w:bodyDiv w:val="1"/>
      <w:marLeft w:val="0"/>
      <w:marRight w:val="0"/>
      <w:marTop w:val="0"/>
      <w:marBottom w:val="0"/>
      <w:divBdr>
        <w:top w:val="none" w:sz="0" w:space="0" w:color="auto"/>
        <w:left w:val="none" w:sz="0" w:space="0" w:color="auto"/>
        <w:bottom w:val="none" w:sz="0" w:space="0" w:color="auto"/>
        <w:right w:val="none" w:sz="0" w:space="0" w:color="auto"/>
      </w:divBdr>
    </w:div>
    <w:div w:id="1173840404">
      <w:bodyDiv w:val="1"/>
      <w:marLeft w:val="0"/>
      <w:marRight w:val="0"/>
      <w:marTop w:val="0"/>
      <w:marBottom w:val="0"/>
      <w:divBdr>
        <w:top w:val="none" w:sz="0" w:space="0" w:color="auto"/>
        <w:left w:val="none" w:sz="0" w:space="0" w:color="auto"/>
        <w:bottom w:val="none" w:sz="0" w:space="0" w:color="auto"/>
        <w:right w:val="none" w:sz="0" w:space="0" w:color="auto"/>
      </w:divBdr>
    </w:div>
    <w:div w:id="1988632819">
      <w:bodyDiv w:val="1"/>
      <w:marLeft w:val="0"/>
      <w:marRight w:val="0"/>
      <w:marTop w:val="0"/>
      <w:marBottom w:val="0"/>
      <w:divBdr>
        <w:top w:val="none" w:sz="0" w:space="0" w:color="auto"/>
        <w:left w:val="none" w:sz="0" w:space="0" w:color="auto"/>
        <w:bottom w:val="none" w:sz="0" w:space="0" w:color="auto"/>
        <w:right w:val="none" w:sz="0" w:space="0" w:color="auto"/>
      </w:divBdr>
    </w:div>
    <w:div w:id="205549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YAKAN</dc:creator>
  <cp:keywords/>
  <dc:description/>
  <cp:lastModifiedBy>Mehmet YAKAN</cp:lastModifiedBy>
  <cp:revision>3</cp:revision>
  <dcterms:created xsi:type="dcterms:W3CDTF">2026-03-10T13:36:00Z</dcterms:created>
  <dcterms:modified xsi:type="dcterms:W3CDTF">2026-03-17T06:20:00Z</dcterms:modified>
</cp:coreProperties>
</file>